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8664"/>
      </w:tblGrid>
      <w:tr w:rsidR="004C0618" w:rsidRPr="009A27B8" w14:paraId="72CF4799" w14:textId="77777777" w:rsidTr="004C0618">
        <w:tc>
          <w:tcPr>
            <w:tcW w:w="8664" w:type="dxa"/>
          </w:tcPr>
          <w:p w14:paraId="4CF5F5B8" w14:textId="1E85F3FC" w:rsidR="004C0618" w:rsidRPr="009A27B8" w:rsidRDefault="00551822" w:rsidP="004C0618">
            <w:pPr>
              <w:rPr>
                <w:b/>
                <w:bCs/>
                <w:i/>
                <w:iCs/>
                <w:sz w:val="36"/>
                <w:szCs w:val="44"/>
                <w:lang w:val="en-GB"/>
              </w:rPr>
            </w:pPr>
            <w:bookmarkStart w:id="0" w:name="BM_Ondertitel"/>
            <w:r w:rsidRPr="00A268DC">
              <w:rPr>
                <w:noProof/>
                <w:lang w:val="en-GB"/>
              </w:rPr>
              <w:drawing>
                <wp:anchor distT="0" distB="0" distL="114300" distR="114300" simplePos="0" relativeHeight="251658241" behindDoc="1" locked="0" layoutInCell="1" allowOverlap="1" wp14:anchorId="100C526B" wp14:editId="15D6B3E2">
                  <wp:simplePos x="0" y="0"/>
                  <wp:positionH relativeFrom="column">
                    <wp:posOffset>4438650</wp:posOffset>
                  </wp:positionH>
                  <wp:positionV relativeFrom="paragraph">
                    <wp:posOffset>61172</wp:posOffset>
                  </wp:positionV>
                  <wp:extent cx="842400" cy="428400"/>
                  <wp:effectExtent l="0" t="0" r="0" b="0"/>
                  <wp:wrapNone/>
                  <wp:docPr id="710083826" name="Afbeelding 710083826" descr="Afbeelding met tekst, Lettertype, Graphics, logo&#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710083826" name="Afbeelding 710083826" descr="Afbeelding met tekst, Lettertype, Graphics, logo&#10;&#10;Door AI gegenereerde inhoud is mogelijk onjuist."/>
                          <pic:cNvPicPr>
                            <a:picLocks noChangeAspect="1"/>
                          </pic:cNvPicPr>
                        </pic:nvPicPr>
                        <pic:blipFill>
                          <a:blip r:embed="rId12"/>
                          <a:stretch>
                            <a:fillRect/>
                          </a:stretch>
                        </pic:blipFill>
                        <pic:spPr>
                          <a:xfrm>
                            <a:off x="0" y="0"/>
                            <a:ext cx="842400" cy="428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C0618" w:rsidRPr="009A27B8">
              <w:rPr>
                <w:b/>
                <w:bCs/>
                <w:i/>
                <w:iCs/>
                <w:sz w:val="36"/>
                <w:szCs w:val="44"/>
                <w:lang w:val="en-GB"/>
              </w:rPr>
              <w:t>SURF Model Data Processing Agreement</w:t>
            </w:r>
            <w:r w:rsidR="004A39AF">
              <w:rPr>
                <w:b/>
                <w:bCs/>
                <w:i/>
                <w:iCs/>
                <w:sz w:val="36"/>
                <w:szCs w:val="44"/>
                <w:lang w:val="en-GB"/>
              </w:rPr>
              <w:t xml:space="preserve"> 4.0</w:t>
            </w:r>
          </w:p>
          <w:p w14:paraId="12E0813E" w14:textId="014A36D1" w:rsidR="004C0618" w:rsidRPr="009A27B8" w:rsidRDefault="004C0618" w:rsidP="004C0618">
            <w:pPr>
              <w:rPr>
                <w:lang w:val="en-GB"/>
              </w:rPr>
            </w:pPr>
          </w:p>
          <w:p w14:paraId="49CAE27E" w14:textId="4FFD9438" w:rsidR="004C0618" w:rsidRPr="009A27B8" w:rsidRDefault="004C0618" w:rsidP="00CA2E79">
            <w:pPr>
              <w:jc w:val="center"/>
              <w:rPr>
                <w:b/>
                <w:bCs/>
                <w:lang w:val="en-GB"/>
              </w:rPr>
            </w:pPr>
            <w:r w:rsidRPr="009A27B8">
              <w:rPr>
                <w:b/>
                <w:bCs/>
                <w:lang w:val="en-GB"/>
              </w:rPr>
              <w:t>STRUCTURE OF THIS DOCUMENT AND NOTES</w:t>
            </w:r>
          </w:p>
          <w:p w14:paraId="075FD3BE" w14:textId="5B7E468A" w:rsidR="004C0618" w:rsidRPr="009A27B8" w:rsidRDefault="004C0618" w:rsidP="004C0618">
            <w:pPr>
              <w:numPr>
                <w:ilvl w:val="0"/>
                <w:numId w:val="27"/>
              </w:numPr>
              <w:spacing w:line="276" w:lineRule="auto"/>
              <w:rPr>
                <w:lang w:val="en-GB"/>
              </w:rPr>
            </w:pPr>
            <w:r w:rsidRPr="009A27B8">
              <w:rPr>
                <w:lang w:val="en-GB"/>
              </w:rPr>
              <w:t xml:space="preserve">This SURF Model Data Processing Agreement can be used for </w:t>
            </w:r>
            <w:r w:rsidRPr="009A27B8">
              <w:rPr>
                <w:i/>
                <w:iCs/>
                <w:lang w:val="en-GB"/>
              </w:rPr>
              <w:t>all</w:t>
            </w:r>
            <w:r w:rsidRPr="009A27B8">
              <w:rPr>
                <w:lang w:val="en-GB"/>
              </w:rPr>
              <w:t xml:space="preserve"> situations in which a SURF member engages a processor, i.e. for education, educational logistics, research and business operations.</w:t>
            </w:r>
            <w:r w:rsidR="00BC6687" w:rsidRPr="009A27B8">
              <w:rPr>
                <w:lang w:val="en-GB"/>
              </w:rPr>
              <w:t>*</w:t>
            </w:r>
            <w:r w:rsidR="00AA5D00" w:rsidRPr="009A27B8">
              <w:rPr>
                <w:lang w:val="en-GB"/>
              </w:rPr>
              <w:t xml:space="preserve"> </w:t>
            </w:r>
            <w:r w:rsidRPr="009A27B8">
              <w:rPr>
                <w:lang w:val="en-GB"/>
              </w:rPr>
              <w:br/>
              <w:t>When is a party a ‘processor’ as defined by the GDPR? That is the case if the SURF member:</w:t>
            </w:r>
          </w:p>
          <w:p w14:paraId="024ADCF2" w14:textId="476B34ED" w:rsidR="004C0618" w:rsidRPr="009A27B8" w:rsidRDefault="00CA2E79" w:rsidP="004C0618">
            <w:pPr>
              <w:numPr>
                <w:ilvl w:val="2"/>
                <w:numId w:val="28"/>
              </w:numPr>
              <w:spacing w:line="276" w:lineRule="auto"/>
              <w:rPr>
                <w:lang w:val="en-GB"/>
              </w:rPr>
            </w:pPr>
            <w:r w:rsidRPr="009A27B8">
              <w:rPr>
                <w:lang w:val="en-GB"/>
              </w:rPr>
              <w:t xml:space="preserve"> engages a third party,</w:t>
            </w:r>
          </w:p>
          <w:p w14:paraId="0D0AD6E1" w14:textId="701E2B4D" w:rsidR="004C0618" w:rsidRPr="009A27B8" w:rsidRDefault="00CA2E79" w:rsidP="004C0618">
            <w:pPr>
              <w:numPr>
                <w:ilvl w:val="2"/>
                <w:numId w:val="28"/>
              </w:numPr>
              <w:spacing w:line="276" w:lineRule="auto"/>
              <w:rPr>
                <w:lang w:val="en-GB"/>
              </w:rPr>
            </w:pPr>
            <w:r w:rsidRPr="009A27B8">
              <w:rPr>
                <w:lang w:val="en-GB"/>
              </w:rPr>
              <w:t>who, on the SURF member’s instructions</w:t>
            </w:r>
          </w:p>
          <w:p w14:paraId="73E23A99" w14:textId="77777777" w:rsidR="004C0618" w:rsidRPr="009A27B8" w:rsidRDefault="00CA2E79" w:rsidP="004C0618">
            <w:pPr>
              <w:numPr>
                <w:ilvl w:val="2"/>
                <w:numId w:val="28"/>
              </w:numPr>
              <w:spacing w:line="276" w:lineRule="auto"/>
              <w:rPr>
                <w:lang w:val="en-GB"/>
              </w:rPr>
            </w:pPr>
            <w:r w:rsidRPr="009A27B8">
              <w:rPr>
                <w:lang w:val="en-GB"/>
              </w:rPr>
              <w:t>and on their behalf, processes personal data,</w:t>
            </w:r>
          </w:p>
          <w:p w14:paraId="48EEEDA4" w14:textId="1AC79E20" w:rsidR="004C0618" w:rsidRPr="009A27B8" w:rsidRDefault="00CA2E79" w:rsidP="004C0618">
            <w:pPr>
              <w:numPr>
                <w:ilvl w:val="2"/>
                <w:numId w:val="28"/>
              </w:numPr>
              <w:spacing w:line="276" w:lineRule="auto"/>
              <w:rPr>
                <w:lang w:val="en-GB"/>
              </w:rPr>
            </w:pPr>
            <w:r w:rsidRPr="009A27B8">
              <w:rPr>
                <w:lang w:val="en-GB"/>
              </w:rPr>
              <w:t xml:space="preserve">for purposes and using resources that are determined solely by the SURF member (and therefore not also by the processor), and </w:t>
            </w:r>
          </w:p>
          <w:p w14:paraId="03F2ABD6" w14:textId="4D79096D" w:rsidR="00DF2FFF" w:rsidRPr="009A27B8" w:rsidRDefault="00CA2E79" w:rsidP="004C0618">
            <w:pPr>
              <w:numPr>
                <w:ilvl w:val="2"/>
                <w:numId w:val="28"/>
              </w:numPr>
              <w:spacing w:line="276" w:lineRule="auto"/>
              <w:rPr>
                <w:lang w:val="en-GB"/>
              </w:rPr>
            </w:pPr>
            <w:r w:rsidRPr="009A27B8">
              <w:rPr>
                <w:lang w:val="en-GB"/>
              </w:rPr>
              <w:t xml:space="preserve">for which the processor is allowed to determine non-essential resources (such as the hardware or software used to process the data) for the data processing activities. </w:t>
            </w:r>
          </w:p>
          <w:p w14:paraId="0FB6E99E" w14:textId="46F38759" w:rsidR="004C0618" w:rsidRPr="009A27B8" w:rsidRDefault="004C0618" w:rsidP="004C0618">
            <w:pPr>
              <w:numPr>
                <w:ilvl w:val="0"/>
                <w:numId w:val="26"/>
              </w:numPr>
              <w:spacing w:line="276" w:lineRule="auto"/>
              <w:rPr>
                <w:lang w:val="en-GB"/>
              </w:rPr>
            </w:pPr>
            <w:r w:rsidRPr="009A27B8">
              <w:rPr>
                <w:lang w:val="en-GB"/>
              </w:rPr>
              <w:t xml:space="preserve">Please contact the Legal Affairs department or your own institution’s Privacy Office for more support, particularly for risk assessment of transfers outside the EEA. The institution may make use of the SURF Assessment Framework ((https://www.surf.nl/toetsingskader) as a tool to assess a transfer. </w:t>
            </w:r>
          </w:p>
          <w:p w14:paraId="772D00B3" w14:textId="09E31A7A" w:rsidR="004C0618" w:rsidRPr="009A27B8" w:rsidRDefault="004C0618" w:rsidP="004C0618">
            <w:pPr>
              <w:numPr>
                <w:ilvl w:val="0"/>
                <w:numId w:val="26"/>
              </w:numPr>
              <w:spacing w:line="276" w:lineRule="auto"/>
              <w:rPr>
                <w:lang w:val="en-GB"/>
              </w:rPr>
            </w:pPr>
            <w:r w:rsidRPr="009A27B8">
              <w:rPr>
                <w:lang w:val="en-GB"/>
              </w:rPr>
              <w:t xml:space="preserve">This model was drafted in compliance with the </w:t>
            </w:r>
            <w:r w:rsidRPr="009A27B8">
              <w:rPr>
                <w:i/>
                <w:iCs/>
                <w:lang w:val="en-GB"/>
              </w:rPr>
              <w:t>EDPB Guidelines 07/2020 on the concepts of controller and processor in the GDPR (07 July 2021)</w:t>
            </w:r>
            <w:r w:rsidRPr="009A27B8">
              <w:rPr>
                <w:lang w:val="en-GB"/>
              </w:rPr>
              <w:t xml:space="preserve"> and comprises all obligations included in Article 28(3) of the GDPR.</w:t>
            </w:r>
          </w:p>
          <w:p w14:paraId="1480DCF9" w14:textId="2E67EBD7" w:rsidR="004C0618" w:rsidRPr="009A27B8" w:rsidRDefault="004C0618" w:rsidP="004C0618">
            <w:pPr>
              <w:numPr>
                <w:ilvl w:val="0"/>
                <w:numId w:val="26"/>
              </w:numPr>
              <w:spacing w:line="276" w:lineRule="auto"/>
              <w:rPr>
                <w:lang w:val="en-GB"/>
              </w:rPr>
            </w:pPr>
            <w:r w:rsidRPr="009A27B8">
              <w:rPr>
                <w:lang w:val="en-GB"/>
              </w:rPr>
              <w:t>The model is a stand-alone document and contains a reasonable division of tasks and risks concerning the processing of personal data. However, certain situations may warrant the selection of variants or optional provisions. These variants and optional provisions are included in boxes and highlighted in red. It is up to the SURF member to make an informed choice based on a risk assessment of the processing. The SURF member must delete any unselected red text before sending the draft agreement out.</w:t>
            </w:r>
          </w:p>
          <w:p w14:paraId="2EA9FF5F" w14:textId="0524D3F2" w:rsidR="004C0618" w:rsidRPr="009A27B8" w:rsidRDefault="004C0618" w:rsidP="004C0618">
            <w:pPr>
              <w:numPr>
                <w:ilvl w:val="0"/>
                <w:numId w:val="26"/>
              </w:numPr>
              <w:spacing w:line="276" w:lineRule="auto"/>
              <w:rPr>
                <w:lang w:val="en-GB"/>
              </w:rPr>
            </w:pPr>
            <w:r w:rsidRPr="009A27B8">
              <w:rPr>
                <w:lang w:val="en-GB"/>
              </w:rPr>
              <w:t>The model also contains a number of passages marked in yellow. Here the SURF member should add specific variable information or make an informed choice. The appendices must also be filled out and completed.</w:t>
            </w:r>
          </w:p>
          <w:p w14:paraId="6C05518A" w14:textId="47E6A502" w:rsidR="00963F54" w:rsidRPr="009A27B8" w:rsidRDefault="00963F54" w:rsidP="00963F54">
            <w:pPr>
              <w:spacing w:line="276" w:lineRule="auto"/>
              <w:rPr>
                <w:lang w:val="en-GB"/>
              </w:rPr>
            </w:pPr>
          </w:p>
          <w:p w14:paraId="536C0A2D" w14:textId="571FC216" w:rsidR="004C0618" w:rsidRPr="009A27B8" w:rsidRDefault="004C0618" w:rsidP="00963F54">
            <w:pPr>
              <w:spacing w:line="276" w:lineRule="auto"/>
              <w:rPr>
                <w:lang w:val="en-GB"/>
              </w:rPr>
            </w:pPr>
            <w:r w:rsidRPr="009A27B8">
              <w:rPr>
                <w:lang w:val="en-GB"/>
              </w:rPr>
              <w:t>The model allows for the possibility to permit the processor to use the personal data for very specific purposes (‘of their own’). In that case, the processor is considered the data controller for its own data processing activities. These processing activities must be explicitly described in the agreement itself.</w:t>
            </w:r>
            <w:bookmarkEnd w:id="0"/>
          </w:p>
        </w:tc>
      </w:tr>
    </w:tbl>
    <w:p w14:paraId="69471C54" w14:textId="0172C35F" w:rsidR="004C0618" w:rsidRPr="009A27B8" w:rsidRDefault="00C946CB" w:rsidP="004C0618">
      <w:pPr>
        <w:spacing w:line="276" w:lineRule="auto"/>
        <w:rPr>
          <w:lang w:val="en-GB"/>
        </w:rPr>
      </w:pPr>
      <w:r w:rsidRPr="009A27B8">
        <w:rPr>
          <w:lang w:val="en-GB"/>
        </w:rPr>
        <w:t xml:space="preserve">* </w:t>
      </w:r>
      <w:r w:rsidRPr="009A27B8">
        <w:rPr>
          <w:i/>
          <w:iCs/>
          <w:lang w:val="en-GB"/>
        </w:rPr>
        <w:t>Secondary vocational education (MBO) has its own model processing agreement tailored to the education sector. The SURF Model Data Processing Agreement replaces the MBO Model and may not be used alongside the MBO Model.</w:t>
      </w:r>
    </w:p>
    <w:p w14:paraId="37A42E29" w14:textId="77777777" w:rsidR="009A27B8" w:rsidRPr="009A27B8" w:rsidRDefault="009A27B8" w:rsidP="004C0618">
      <w:pPr>
        <w:spacing w:line="276" w:lineRule="auto"/>
        <w:rPr>
          <w:lang w:val="en-GB"/>
        </w:rPr>
      </w:pPr>
    </w:p>
    <w:p w14:paraId="29ADC06C" w14:textId="1ABBF49F" w:rsidR="004C0618" w:rsidRPr="009A27B8" w:rsidRDefault="004C0618" w:rsidP="004C0618">
      <w:pPr>
        <w:spacing w:line="276" w:lineRule="auto"/>
        <w:rPr>
          <w:lang w:val="en-GB"/>
        </w:rPr>
      </w:pPr>
      <w:r w:rsidRPr="009A27B8">
        <w:rPr>
          <w:noProof/>
          <w:lang w:val="en-GB"/>
        </w:rPr>
        <w:drawing>
          <wp:anchor distT="57150" distB="57150" distL="57150" distR="57150" simplePos="0" relativeHeight="251658240" behindDoc="0" locked="0" layoutInCell="1" allowOverlap="1" wp14:anchorId="147F9A49" wp14:editId="4F742047">
            <wp:simplePos x="0" y="0"/>
            <wp:positionH relativeFrom="column">
              <wp:posOffset>4238625</wp:posOffset>
            </wp:positionH>
            <wp:positionV relativeFrom="line">
              <wp:posOffset>47625</wp:posOffset>
            </wp:positionV>
            <wp:extent cx="1228725" cy="438150"/>
            <wp:effectExtent l="0" t="0" r="0" b="0"/>
            <wp:wrapSquare wrapText="bothSides" distT="57150" distB="57150" distL="57150" distR="57150"/>
            <wp:docPr id="1073741826" name="officeArt object" descr="Description: by"/>
            <wp:cNvGraphicFramePr/>
            <a:graphic xmlns:a="http://schemas.openxmlformats.org/drawingml/2006/main">
              <a:graphicData uri="http://schemas.openxmlformats.org/drawingml/2006/picture">
                <pic:pic xmlns:pic="http://schemas.openxmlformats.org/drawingml/2006/picture">
                  <pic:nvPicPr>
                    <pic:cNvPr id="1073741826" name="Description: by" descr="Description: by"/>
                    <pic:cNvPicPr>
                      <a:picLocks noChangeAspect="1"/>
                    </pic:cNvPicPr>
                  </pic:nvPicPr>
                  <pic:blipFill>
                    <a:blip r:embed="rId13"/>
                    <a:stretch>
                      <a:fillRect/>
                    </a:stretch>
                  </pic:blipFill>
                  <pic:spPr>
                    <a:xfrm>
                      <a:off x="0" y="0"/>
                      <a:ext cx="1228725" cy="438150"/>
                    </a:xfrm>
                    <a:prstGeom prst="rect">
                      <a:avLst/>
                    </a:prstGeom>
                    <a:ln w="12700" cap="flat">
                      <a:noFill/>
                      <a:miter lim="400000"/>
                    </a:ln>
                    <a:effectLst/>
                  </pic:spPr>
                </pic:pic>
              </a:graphicData>
            </a:graphic>
          </wp:anchor>
        </w:drawing>
      </w:r>
      <w:r w:rsidRPr="009A27B8">
        <w:rPr>
          <w:lang w:val="en-GB"/>
        </w:rPr>
        <w:t xml:space="preserve">This publication is licensed by SURF BV under the license Creative Commons Attribution 4.0 International (CC BY 4.0).More information on this license can be found here </w:t>
      </w:r>
      <w:hyperlink r:id="rId14" w:history="1">
        <w:r w:rsidRPr="009A27B8">
          <w:rPr>
            <w:rStyle w:val="Hyperlink"/>
            <w:lang w:val="en-GB"/>
          </w:rPr>
          <w:t>creativecommons.org/licenses/by/4.0/deed.nl</w:t>
        </w:r>
      </w:hyperlink>
      <w:r w:rsidRPr="009A27B8">
        <w:rPr>
          <w:lang w:val="en-GB"/>
        </w:rPr>
        <w:t>.</w:t>
      </w:r>
      <w:r w:rsidRPr="009A27B8">
        <w:rPr>
          <w:lang w:val="en-GB"/>
        </w:rPr>
        <w:br/>
      </w: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016"/>
      </w:tblGrid>
      <w:tr w:rsidR="004C0618" w:rsidRPr="009A27B8" w14:paraId="023AC54E" w14:textId="77777777" w:rsidTr="003A3743">
        <w:trPr>
          <w:trHeight w:val="55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9BBBC7D" w14:textId="59B5AED0" w:rsidR="004C0618" w:rsidRPr="009A27B8" w:rsidRDefault="004C0618" w:rsidP="00652E24">
            <w:pPr>
              <w:spacing w:line="276" w:lineRule="auto"/>
              <w:rPr>
                <w:lang w:val="en-GB"/>
              </w:rPr>
            </w:pPr>
            <w:r w:rsidRPr="006654CA">
              <w:rPr>
                <w:lang w:val="en-GB"/>
              </w:rPr>
              <w:t>Delete</w:t>
            </w:r>
            <w:r w:rsidR="00BC6687" w:rsidRPr="006654CA">
              <w:rPr>
                <w:lang w:val="en-GB"/>
              </w:rPr>
              <w:t xml:space="preserve"> the text on</w:t>
            </w:r>
            <w:r w:rsidRPr="006654CA">
              <w:rPr>
                <w:lang w:val="en-GB"/>
              </w:rPr>
              <w:t xml:space="preserve"> th</w:t>
            </w:r>
            <w:r w:rsidR="00AA5D00" w:rsidRPr="006654CA">
              <w:rPr>
                <w:lang w:val="en-GB"/>
              </w:rPr>
              <w:t xml:space="preserve">is page (the </w:t>
            </w:r>
            <w:r w:rsidRPr="006654CA">
              <w:rPr>
                <w:lang w:val="en-GB"/>
              </w:rPr>
              <w:t>header, the notes up to and including this bar</w:t>
            </w:r>
            <w:r w:rsidR="00AA5D00" w:rsidRPr="006654CA">
              <w:rPr>
                <w:lang w:val="en-GB"/>
              </w:rPr>
              <w:t>)</w:t>
            </w:r>
            <w:r w:rsidR="00CA2E79">
              <w:rPr>
                <w:lang w:val="en-GB"/>
              </w:rPr>
              <w:t xml:space="preserve"> </w:t>
            </w:r>
            <w:r w:rsidRPr="006654CA">
              <w:rPr>
                <w:lang w:val="en-GB"/>
              </w:rPr>
              <w:t xml:space="preserve">and select </w:t>
            </w:r>
            <w:r w:rsidRPr="006654CA">
              <w:rPr>
                <w:color w:val="E03C31" w:themeColor="accent2"/>
                <w:lang w:val="en-GB"/>
              </w:rPr>
              <w:t>the text in red</w:t>
            </w:r>
            <w:r w:rsidRPr="006654CA">
              <w:rPr>
                <w:lang w:val="en-GB"/>
              </w:rPr>
              <w:t xml:space="preserve"> </w:t>
            </w:r>
            <w:r w:rsidR="00DE5080" w:rsidRPr="006654CA">
              <w:rPr>
                <w:lang w:val="en-GB"/>
              </w:rPr>
              <w:t xml:space="preserve">in the </w:t>
            </w:r>
            <w:r w:rsidR="003A22F9" w:rsidRPr="006654CA">
              <w:rPr>
                <w:lang w:val="en-GB"/>
              </w:rPr>
              <w:t xml:space="preserve">document </w:t>
            </w:r>
            <w:r w:rsidRPr="006654CA">
              <w:rPr>
                <w:lang w:val="en-GB"/>
              </w:rPr>
              <w:t>before sending out a draft or final agreement based on this model.</w:t>
            </w:r>
            <w:r w:rsidR="003A22F9" w:rsidRPr="006654CA">
              <w:rPr>
                <w:lang w:val="en-GB"/>
              </w:rPr>
              <w:t xml:space="preserve"> </w:t>
            </w:r>
            <w:r w:rsidR="007F1C2F" w:rsidRPr="006654CA">
              <w:rPr>
                <w:lang w:val="en-GB"/>
              </w:rPr>
              <w:t>Replace the logo in the header.</w:t>
            </w:r>
          </w:p>
        </w:tc>
      </w:tr>
    </w:tbl>
    <w:p w14:paraId="4A645398" w14:textId="0CF144F1" w:rsidR="004C0618" w:rsidRPr="009A27B8" w:rsidRDefault="004C0618" w:rsidP="004C0618">
      <w:pPr>
        <w:spacing w:line="276" w:lineRule="auto"/>
        <w:rPr>
          <w:lang w:val="en-GB"/>
        </w:rPr>
      </w:pPr>
    </w:p>
    <w:p w14:paraId="0DE426B0" w14:textId="1EAE7C71" w:rsidR="00AA5D00" w:rsidRPr="009A27B8" w:rsidRDefault="00AA5D00">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Calibri" w:eastAsia="Times New Roman" w:hAnsi="Calibri" w:cs="Maiandra GD"/>
          <w:b/>
          <w:color w:val="000000" w:themeColor="text1"/>
          <w:sz w:val="36"/>
          <w:szCs w:val="16"/>
          <w:bdr w:val="none" w:sz="0" w:space="0" w:color="auto"/>
          <w:lang w:val="en-GB" w:eastAsia="nl-NL"/>
        </w:rPr>
      </w:pPr>
      <w:r w:rsidRPr="009A27B8">
        <w:rPr>
          <w:lang w:val="en-GB"/>
        </w:rPr>
        <w:br w:type="page"/>
      </w:r>
    </w:p>
    <w:p w14:paraId="2A19281A" w14:textId="39946B46" w:rsidR="004C0618" w:rsidRPr="009A27B8" w:rsidRDefault="004C0618" w:rsidP="004C0618">
      <w:pPr>
        <w:pStyle w:val="TitelSURF"/>
        <w:rPr>
          <w:lang w:val="en-GB"/>
        </w:rPr>
      </w:pPr>
      <w:r w:rsidRPr="009A27B8">
        <w:rPr>
          <w:lang w:val="en-GB"/>
        </w:rPr>
        <w:lastRenderedPageBreak/>
        <w:t>Data Processing Agreement</w:t>
      </w:r>
    </w:p>
    <w:p w14:paraId="22244051" w14:textId="77777777" w:rsidR="004C0618" w:rsidRPr="009A27B8" w:rsidRDefault="004C0618" w:rsidP="004C061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lang w:val="en-GB"/>
        </w:rPr>
      </w:pPr>
    </w:p>
    <w:p w14:paraId="63C43938"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9A27B8">
        <w:rPr>
          <w:lang w:val="en-GB"/>
        </w:rPr>
        <w:t>THE UNDERSIGNED PARTIES:</w:t>
      </w:r>
    </w:p>
    <w:p w14:paraId="618DAD65"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79D3F25B"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9A27B8">
        <w:rPr>
          <w:b/>
          <w:bCs/>
          <w:lang w:val="en-GB"/>
        </w:rPr>
        <w:t>&lt;</w:t>
      </w:r>
      <w:r w:rsidRPr="009A27B8">
        <w:rPr>
          <w:b/>
          <w:bCs/>
          <w:highlight w:val="yellow"/>
          <w:lang w:val="en-GB"/>
        </w:rPr>
        <w:t>NAME OF INSTITUTION</w:t>
      </w:r>
      <w:r w:rsidRPr="009A27B8">
        <w:rPr>
          <w:b/>
          <w:bCs/>
          <w:lang w:val="en-GB"/>
        </w:rPr>
        <w:t>&gt;,</w:t>
      </w:r>
      <w:r w:rsidRPr="009A27B8">
        <w:rPr>
          <w:lang w:val="en-GB"/>
        </w:rPr>
        <w:t xml:space="preserve"> domiciled in &lt;</w:t>
      </w:r>
      <w:r w:rsidRPr="009A27B8">
        <w:rPr>
          <w:highlight w:val="yellow"/>
          <w:lang w:val="en-GB"/>
        </w:rPr>
        <w:t>ADDRESS</w:t>
      </w:r>
      <w:r w:rsidRPr="009A27B8">
        <w:rPr>
          <w:lang w:val="en-GB"/>
        </w:rPr>
        <w:t>&gt;</w:t>
      </w:r>
      <w:r w:rsidRPr="009A27B8">
        <w:rPr>
          <w:b/>
          <w:bCs/>
          <w:lang w:val="en-GB"/>
        </w:rPr>
        <w:t xml:space="preserve"> </w:t>
      </w:r>
      <w:r w:rsidRPr="009A27B8">
        <w:rPr>
          <w:lang w:val="en-GB"/>
        </w:rPr>
        <w:t>in &lt;</w:t>
      </w:r>
      <w:r w:rsidRPr="009A27B8">
        <w:rPr>
          <w:highlight w:val="yellow"/>
          <w:lang w:val="en-GB"/>
        </w:rPr>
        <w:t>TOWN/CITY</w:t>
      </w:r>
      <w:r w:rsidRPr="009A27B8">
        <w:rPr>
          <w:lang w:val="en-GB"/>
        </w:rPr>
        <w:t xml:space="preserve">&gt;, and legally represented by </w:t>
      </w:r>
      <w:r w:rsidRPr="009A27B8">
        <w:rPr>
          <w:b/>
          <w:bCs/>
          <w:lang w:val="en-GB"/>
        </w:rPr>
        <w:t>&lt;</w:t>
      </w:r>
      <w:r w:rsidRPr="009A27B8">
        <w:rPr>
          <w:highlight w:val="yellow"/>
          <w:lang w:val="en-GB"/>
        </w:rPr>
        <w:t>REPRESENTATIVE</w:t>
      </w:r>
      <w:r w:rsidRPr="009A27B8">
        <w:rPr>
          <w:b/>
          <w:bCs/>
          <w:lang w:val="en-GB"/>
        </w:rPr>
        <w:t xml:space="preserve">&gt; </w:t>
      </w:r>
      <w:r w:rsidRPr="009A27B8">
        <w:rPr>
          <w:lang w:val="en-GB"/>
        </w:rPr>
        <w:t xml:space="preserve">(hereinafter: </w:t>
      </w:r>
      <w:r w:rsidRPr="009A27B8">
        <w:rPr>
          <w:b/>
          <w:bCs/>
          <w:lang w:val="en-GB"/>
        </w:rPr>
        <w:t>“The Controller”)</w:t>
      </w:r>
    </w:p>
    <w:p w14:paraId="4B3BA990"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5305852B" w14:textId="46E45815"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9A27B8">
        <w:rPr>
          <w:lang w:val="en-GB"/>
        </w:rPr>
        <w:t>and</w:t>
      </w:r>
    </w:p>
    <w:p w14:paraId="0460A743"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15D2A30F"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9A27B8">
        <w:rPr>
          <w:b/>
          <w:bCs/>
          <w:lang w:val="en-GB"/>
        </w:rPr>
        <w:t>&lt;NAME OF SUPPLIER/PROCESSOR&gt;,</w:t>
      </w:r>
      <w:r w:rsidRPr="009A27B8">
        <w:rPr>
          <w:lang w:val="en-GB"/>
        </w:rPr>
        <w:t xml:space="preserve"> domiciled in &lt;</w:t>
      </w:r>
      <w:r w:rsidRPr="009A27B8">
        <w:rPr>
          <w:highlight w:val="yellow"/>
          <w:lang w:val="en-GB"/>
        </w:rPr>
        <w:t>ADDRESS</w:t>
      </w:r>
      <w:r w:rsidRPr="009A27B8">
        <w:rPr>
          <w:lang w:val="en-GB"/>
        </w:rPr>
        <w:t>&gt;</w:t>
      </w:r>
      <w:r w:rsidRPr="009A27B8">
        <w:rPr>
          <w:b/>
          <w:bCs/>
          <w:lang w:val="en-GB"/>
        </w:rPr>
        <w:t xml:space="preserve"> </w:t>
      </w:r>
      <w:r w:rsidRPr="009A27B8">
        <w:rPr>
          <w:lang w:val="en-GB"/>
        </w:rPr>
        <w:t>in &lt;</w:t>
      </w:r>
      <w:r w:rsidRPr="009A27B8">
        <w:rPr>
          <w:highlight w:val="yellow"/>
          <w:lang w:val="en-GB"/>
        </w:rPr>
        <w:t>TOWN/CITY</w:t>
      </w:r>
      <w:r w:rsidRPr="009A27B8">
        <w:rPr>
          <w:lang w:val="en-GB"/>
        </w:rPr>
        <w:t xml:space="preserve">&gt;, and legally represented by </w:t>
      </w:r>
      <w:r w:rsidRPr="009A27B8">
        <w:rPr>
          <w:b/>
          <w:bCs/>
          <w:lang w:val="en-GB"/>
        </w:rPr>
        <w:t>&lt;</w:t>
      </w:r>
      <w:r w:rsidRPr="009A27B8">
        <w:rPr>
          <w:highlight w:val="yellow"/>
          <w:lang w:val="en-GB"/>
        </w:rPr>
        <w:t>REPRESENTATIVE</w:t>
      </w:r>
      <w:r w:rsidRPr="009A27B8">
        <w:rPr>
          <w:b/>
          <w:bCs/>
          <w:lang w:val="en-GB"/>
        </w:rPr>
        <w:t xml:space="preserve">&gt; </w:t>
      </w:r>
      <w:r w:rsidRPr="009A27B8">
        <w:rPr>
          <w:lang w:val="en-GB"/>
        </w:rPr>
        <w:t xml:space="preserve">(hereinafter: </w:t>
      </w:r>
      <w:r w:rsidRPr="009A27B8">
        <w:rPr>
          <w:b/>
          <w:bCs/>
          <w:lang w:val="en-GB"/>
        </w:rPr>
        <w:t>“The Processor”</w:t>
      </w:r>
      <w:r w:rsidRPr="009A27B8">
        <w:rPr>
          <w:lang w:val="en-GB"/>
        </w:rPr>
        <w:t>)</w:t>
      </w:r>
    </w:p>
    <w:p w14:paraId="4CC62128"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9A27B8">
        <w:rPr>
          <w:lang w:val="en-GB"/>
        </w:rPr>
        <w:t>hereinafter jointly referred to as: “</w:t>
      </w:r>
      <w:r w:rsidRPr="009A27B8">
        <w:rPr>
          <w:b/>
          <w:bCs/>
          <w:lang w:val="en-GB"/>
        </w:rPr>
        <w:t>The Parties</w:t>
      </w:r>
      <w:r w:rsidRPr="009A27B8">
        <w:rPr>
          <w:lang w:val="en-GB"/>
        </w:rPr>
        <w:t xml:space="preserve">” and individually as: </w:t>
      </w:r>
      <w:r w:rsidRPr="009A27B8">
        <w:rPr>
          <w:b/>
          <w:bCs/>
          <w:lang w:val="en-GB"/>
        </w:rPr>
        <w:t>“The Party”;</w:t>
      </w:r>
    </w:p>
    <w:p w14:paraId="360F4802"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67F2E9E6" w14:textId="4113F79E"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9A27B8">
        <w:rPr>
          <w:lang w:val="en-GB"/>
        </w:rPr>
        <w:t xml:space="preserve"> WHEREAS:</w:t>
      </w:r>
    </w:p>
    <w:p w14:paraId="53677159" w14:textId="77777777" w:rsidR="004C0618" w:rsidRPr="009A27B8" w:rsidRDefault="004C0618" w:rsidP="001150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099704C4" w14:textId="42C00D6E" w:rsidR="004C0618" w:rsidRPr="009A27B8" w:rsidRDefault="004C0618" w:rsidP="0011502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rPr>
          <w:lang w:val="en-GB"/>
        </w:rPr>
      </w:pPr>
      <w:r w:rsidRPr="009A27B8">
        <w:rPr>
          <w:lang w:val="en-GB"/>
        </w:rPr>
        <w:t>the Parties entered into an agreement (in writing or by electronic means through an electronic ordering process) on &lt;</w:t>
      </w:r>
      <w:r w:rsidRPr="009A27B8">
        <w:rPr>
          <w:highlight w:val="yellow"/>
          <w:lang w:val="en-GB"/>
        </w:rPr>
        <w:t>DATE</w:t>
      </w:r>
      <w:r w:rsidRPr="009A27B8">
        <w:rPr>
          <w:lang w:val="en-GB"/>
        </w:rPr>
        <w:t>&gt; with regard to &lt;</w:t>
      </w:r>
      <w:r w:rsidRPr="009A27B8">
        <w:rPr>
          <w:highlight w:val="yellow"/>
          <w:lang w:val="en-GB"/>
        </w:rPr>
        <w:t>SUBJECT OF THE AGREEMENT</w:t>
      </w:r>
      <w:r w:rsidRPr="009A27B8">
        <w:rPr>
          <w:lang w:val="en-GB"/>
        </w:rPr>
        <w:t>&gt; (hereinafter: “</w:t>
      </w:r>
      <w:r w:rsidRPr="009A27B8">
        <w:rPr>
          <w:b/>
          <w:bCs/>
          <w:lang w:val="en-GB"/>
        </w:rPr>
        <w:t>the Agreement</w:t>
      </w:r>
      <w:r w:rsidRPr="009A27B8">
        <w:rPr>
          <w:lang w:val="en-GB"/>
        </w:rPr>
        <w:t xml:space="preserve">”); </w:t>
      </w:r>
    </w:p>
    <w:p w14:paraId="32CC2F0A" w14:textId="77777777" w:rsidR="004C0618" w:rsidRPr="009A27B8" w:rsidRDefault="004C0618" w:rsidP="0011502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rPr>
          <w:lang w:val="en-GB"/>
        </w:rPr>
      </w:pPr>
      <w:r w:rsidRPr="009A27B8">
        <w:rPr>
          <w:lang w:val="en-GB"/>
        </w:rPr>
        <w:t>the Processor processes personal data for the Controller in the course of performing this Agreement;</w:t>
      </w:r>
    </w:p>
    <w:p w14:paraId="6D987616" w14:textId="35C33569" w:rsidR="004C0618" w:rsidRPr="009A27B8" w:rsidRDefault="004C0618" w:rsidP="0011502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rPr>
          <w:lang w:val="en-GB"/>
        </w:rPr>
      </w:pPr>
      <w:r w:rsidRPr="009A27B8">
        <w:rPr>
          <w:lang w:val="en-GB"/>
        </w:rPr>
        <w:t xml:space="preserve">the Parties wish to put down in writing their rights and obligations with respect to the processing of personal data of data subjects, in accordance with the General Data Protection Regulation (GDPR), in this processing agreement (hereinafter: </w:t>
      </w:r>
      <w:r w:rsidRPr="009A27B8">
        <w:rPr>
          <w:b/>
          <w:bCs/>
          <w:lang w:val="en-GB"/>
        </w:rPr>
        <w:t>“Data Processing Agreement”</w:t>
      </w:r>
      <w:r w:rsidRPr="009A27B8">
        <w:rPr>
          <w:lang w:val="en-GB"/>
        </w:rPr>
        <w:t>)</w:t>
      </w:r>
    </w:p>
    <w:p w14:paraId="4028394B" w14:textId="77777777" w:rsidR="004C0618" w:rsidRPr="009A27B8" w:rsidRDefault="004C0618" w:rsidP="004C061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lang w:val="en-GB"/>
        </w:rPr>
      </w:pPr>
    </w:p>
    <w:p w14:paraId="1BB3DE65" w14:textId="5CCFDCA2" w:rsidR="004C0618" w:rsidRPr="009A27B8" w:rsidRDefault="004C0618" w:rsidP="004C061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lang w:val="en-GB"/>
        </w:rPr>
      </w:pPr>
      <w:r w:rsidRPr="009A27B8">
        <w:rPr>
          <w:lang w:val="en-GB"/>
        </w:rPr>
        <w:t>HAVE AGREED AS FOLLOWS:</w:t>
      </w:r>
    </w:p>
    <w:p w14:paraId="109C803C" w14:textId="7C70708C" w:rsidR="004C0618" w:rsidRPr="009A27B8" w:rsidRDefault="004C0618" w:rsidP="00411CCF">
      <w:pPr>
        <w:pStyle w:val="Kop1zondernummerSURF"/>
        <w:rPr>
          <w:lang w:val="en-GB"/>
        </w:rPr>
      </w:pPr>
      <w:r w:rsidRPr="009A27B8">
        <w:rPr>
          <w:lang w:val="en-GB"/>
        </w:rPr>
        <w:t xml:space="preserve">ARTICLE 1 </w:t>
      </w:r>
      <w:r w:rsidRPr="009A27B8">
        <w:rPr>
          <w:lang w:val="en-GB"/>
        </w:rPr>
        <w:tab/>
        <w:t>DEFINITIONS AND MISCELLANEOUS</w:t>
      </w:r>
    </w:p>
    <w:p w14:paraId="33896449" w14:textId="5FC03E6F" w:rsidR="00D516EA" w:rsidRPr="009A27B8" w:rsidRDefault="00B914FE" w:rsidP="00C0260C">
      <w:pPr>
        <w:pStyle w:val="Inspring1eniveauSURF"/>
        <w:rPr>
          <w:rFonts w:eastAsia="Times New Roman"/>
        </w:rPr>
      </w:pPr>
      <w:r w:rsidRPr="009A27B8">
        <w:t>1.1</w:t>
      </w:r>
      <w:r w:rsidRPr="009A27B8">
        <w:tab/>
      </w:r>
      <w:r w:rsidR="004C0618" w:rsidRPr="009A27B8">
        <w:t>The terms in capitalized letters in this Data Processing Agreement have the same meaning as those in Article 4 GDPR, unless defined otherwise.</w:t>
      </w:r>
    </w:p>
    <w:p w14:paraId="70980C51" w14:textId="6C488D84" w:rsidR="00D516EA" w:rsidRPr="009A27B8" w:rsidRDefault="00431CB5" w:rsidP="00C0260C">
      <w:pPr>
        <w:pStyle w:val="Inspring1eniveauSURF"/>
        <w:rPr>
          <w:rFonts w:eastAsia="Times New Roman"/>
        </w:rPr>
      </w:pPr>
      <w:r w:rsidRPr="009A27B8">
        <w:t>1.2</w:t>
      </w:r>
      <w:r w:rsidRPr="009A27B8">
        <w:tab/>
      </w:r>
      <w:r w:rsidR="004C0618" w:rsidRPr="009A27B8">
        <w:t xml:space="preserve">The provisions of this Processing Agreement apply to all Personal Data Processing activities conducted by the Processor for the Controller in the context of the services he provides to the Controller based on the Agreement. This Personal Data and these Processing activities are listed and described in more detail in </w:t>
      </w:r>
      <w:r w:rsidR="004C0618" w:rsidRPr="009A27B8">
        <w:rPr>
          <w:u w:val="single"/>
        </w:rPr>
        <w:t>Annex A</w:t>
      </w:r>
      <w:r w:rsidR="004C0618" w:rsidRPr="009A27B8">
        <w:t xml:space="preserve">. </w:t>
      </w:r>
    </w:p>
    <w:p w14:paraId="595B968B" w14:textId="3136B097" w:rsidR="004C0618" w:rsidRPr="009A27B8" w:rsidRDefault="00431CB5" w:rsidP="00C0260C">
      <w:pPr>
        <w:pStyle w:val="Inspring1eniveauSURF"/>
      </w:pPr>
      <w:r w:rsidRPr="009A27B8">
        <w:t>1.3</w:t>
      </w:r>
      <w:r w:rsidRPr="009A27B8">
        <w:tab/>
      </w:r>
      <w:r w:rsidR="004C0618" w:rsidRPr="009A27B8">
        <w:t xml:space="preserve">The appendices to this document and any later modifications or additions are part of this Data Processing Agreement.  </w:t>
      </w:r>
    </w:p>
    <w:p w14:paraId="28F1EBE7" w14:textId="77777777" w:rsidR="00AF7ADB" w:rsidRPr="009A27B8" w:rsidRDefault="00AF7ADB" w:rsidP="00411CCF">
      <w:pPr>
        <w:pStyle w:val="Kop1zondernummerSURF"/>
        <w:rPr>
          <w:lang w:val="en-GB"/>
        </w:rPr>
      </w:pPr>
      <w:r w:rsidRPr="009A27B8">
        <w:rPr>
          <w:lang w:val="en-GB"/>
        </w:rPr>
        <w:t xml:space="preserve">ARTICLE 2 </w:t>
      </w:r>
      <w:r w:rsidRPr="009A27B8">
        <w:rPr>
          <w:lang w:val="en-GB"/>
        </w:rPr>
        <w:tab/>
        <w:t xml:space="preserve">PURPOSE OF THE AGREEMENT </w:t>
      </w:r>
    </w:p>
    <w:p w14:paraId="63F3D6E8" w14:textId="56980293" w:rsidR="00AF7ADB" w:rsidRPr="009A27B8" w:rsidRDefault="00A01CAD" w:rsidP="00C0260C">
      <w:pPr>
        <w:pStyle w:val="Inspring1eniveauSURF"/>
      </w:pPr>
      <w:r w:rsidRPr="009A27B8">
        <w:t>2.1</w:t>
      </w:r>
      <w:r w:rsidR="00245CC4" w:rsidRPr="009A27B8">
        <w:tab/>
      </w:r>
      <w:r w:rsidR="00C36760" w:rsidRPr="009A27B8">
        <w:t>The Processor only processes Personal Data:</w:t>
      </w:r>
    </w:p>
    <w:p w14:paraId="7BB30B85" w14:textId="77777777" w:rsidR="00E1650C" w:rsidRPr="009A27B8" w:rsidRDefault="00E1650C" w:rsidP="004B1D8D">
      <w:pPr>
        <w:spacing w:line="276" w:lineRule="auto"/>
        <w:rPr>
          <w:szCs w:val="16"/>
          <w:lang w:val="en-GB"/>
        </w:rPr>
      </w:pPr>
    </w:p>
    <w:p w14:paraId="07689A2C" w14:textId="6186CC8B" w:rsidR="00FB1F52" w:rsidRPr="009A27B8" w:rsidRDefault="00FB1F52" w:rsidP="00D05779">
      <w:pPr>
        <w:pStyle w:val="Lijstalinea"/>
        <w:numPr>
          <w:ilvl w:val="0"/>
          <w:numId w:val="31"/>
        </w:numPr>
        <w:spacing w:after="260" w:line="260" w:lineRule="atLeast"/>
        <w:ind w:left="851" w:hanging="142"/>
        <w:contextualSpacing/>
        <w:rPr>
          <w:bCs/>
          <w:iCs/>
          <w:sz w:val="20"/>
          <w:szCs w:val="20"/>
          <w:lang w:val="en-GB"/>
        </w:rPr>
      </w:pPr>
      <w:r w:rsidRPr="009A27B8">
        <w:rPr>
          <w:bCs/>
          <w:iCs/>
          <w:sz w:val="20"/>
          <w:szCs w:val="20"/>
          <w:lang w:val="en-GB"/>
        </w:rPr>
        <w:t>on the instructions of the Controller,</w:t>
      </w:r>
    </w:p>
    <w:p w14:paraId="52EF2BEE" w14:textId="1D540051" w:rsidR="00FB1F52" w:rsidRPr="009A27B8" w:rsidRDefault="00261108" w:rsidP="00D05779">
      <w:pPr>
        <w:pStyle w:val="Lijstalinea"/>
        <w:numPr>
          <w:ilvl w:val="0"/>
          <w:numId w:val="31"/>
        </w:numPr>
        <w:spacing w:after="260" w:line="260" w:lineRule="atLeast"/>
        <w:ind w:left="851" w:hanging="142"/>
        <w:contextualSpacing/>
        <w:rPr>
          <w:bCs/>
          <w:iCs/>
          <w:sz w:val="20"/>
          <w:szCs w:val="20"/>
          <w:lang w:val="en-GB"/>
        </w:rPr>
      </w:pPr>
      <w:r w:rsidRPr="009A27B8">
        <w:rPr>
          <w:bCs/>
          <w:iCs/>
          <w:sz w:val="20"/>
          <w:szCs w:val="20"/>
          <w:lang w:val="en-GB"/>
        </w:rPr>
        <w:t>according to his reasonable written instructions, and</w:t>
      </w:r>
    </w:p>
    <w:p w14:paraId="3C751ECC" w14:textId="6E7F97EF" w:rsidR="00FB1F52" w:rsidRPr="009A27B8" w:rsidRDefault="00450B00" w:rsidP="00D05779">
      <w:pPr>
        <w:pStyle w:val="Lijstalinea"/>
        <w:numPr>
          <w:ilvl w:val="0"/>
          <w:numId w:val="31"/>
        </w:numPr>
        <w:spacing w:after="260" w:line="260" w:lineRule="atLeast"/>
        <w:ind w:left="851" w:hanging="142"/>
        <w:contextualSpacing/>
        <w:rPr>
          <w:bCs/>
          <w:iCs/>
          <w:sz w:val="20"/>
          <w:szCs w:val="20"/>
          <w:lang w:val="en-GB"/>
        </w:rPr>
      </w:pPr>
      <w:r w:rsidRPr="009A27B8">
        <w:rPr>
          <w:bCs/>
          <w:iCs/>
          <w:sz w:val="20"/>
          <w:szCs w:val="20"/>
          <w:lang w:val="en-GB"/>
        </w:rPr>
        <w:t>as far as</w:t>
      </w:r>
      <w:r w:rsidR="00261108" w:rsidRPr="009A27B8">
        <w:rPr>
          <w:bCs/>
          <w:iCs/>
          <w:sz w:val="20"/>
          <w:szCs w:val="20"/>
          <w:lang w:val="en-GB"/>
        </w:rPr>
        <w:t xml:space="preserve"> the Processing activities are necessary to perform the Agreement and this Data Processing Agreement.</w:t>
      </w:r>
    </w:p>
    <w:p w14:paraId="0330EFB5" w14:textId="22DE4CB2" w:rsidR="009D6EB5" w:rsidRPr="009A27B8" w:rsidRDefault="009D6EB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Calibri" w:eastAsia="Times New Roman" w:hAnsi="Calibri" w:cs="Maiandra GD"/>
          <w:color w:val="000000" w:themeColor="text1"/>
          <w:szCs w:val="20"/>
          <w:bdr w:val="none" w:sz="0" w:space="0" w:color="auto"/>
          <w:lang w:val="en-GB" w:eastAsia="nl-NL"/>
        </w:rPr>
      </w:pPr>
      <w:r w:rsidRPr="009A27B8">
        <w:rPr>
          <w:rFonts w:ascii="Calibri" w:eastAsia="Times New Roman" w:hAnsi="Calibri" w:cs="Maiandra GD"/>
          <w:color w:val="000000" w:themeColor="text1"/>
          <w:szCs w:val="20"/>
          <w:bdr w:val="none" w:sz="0" w:space="0" w:color="auto"/>
          <w:lang w:val="en-GB" w:eastAsia="nl-NL"/>
        </w:rPr>
        <w:br w:type="page"/>
      </w:r>
    </w:p>
    <w:p w14:paraId="7E3AA5C5" w14:textId="77777777" w:rsidR="009D6EB5" w:rsidRPr="009A27B8" w:rsidRDefault="009D6EB5" w:rsidP="009D6EB5">
      <w:pPr>
        <w:pBdr>
          <w:top w:val="single" w:sz="4" w:space="0" w:color="000000"/>
          <w:left w:val="single" w:sz="4" w:space="0" w:color="000000"/>
          <w:bottom w:val="single" w:sz="4" w:space="0" w:color="000000"/>
          <w:right w:val="single" w:sz="4" w:space="0" w:color="000000"/>
        </w:pBdr>
        <w:spacing w:after="260" w:line="260" w:lineRule="atLeast"/>
        <w:rPr>
          <w:rFonts w:ascii="Calibri" w:eastAsia="Calibri" w:hAnsi="Calibri" w:cs="Calibri"/>
          <w:b/>
          <w:bCs/>
          <w:i/>
          <w:iCs/>
          <w:color w:val="FF0000"/>
          <w:szCs w:val="20"/>
          <w:u w:color="FF0000"/>
          <w:lang w:val="en-GB" w:eastAsia="nl-NL"/>
          <w14:textOutline w14:w="0" w14:cap="flat" w14:cmpd="sng" w14:algn="ctr">
            <w14:noFill/>
            <w14:prstDash w14:val="solid"/>
            <w14:bevel/>
          </w14:textOutline>
        </w:rPr>
      </w:pPr>
      <w:r w:rsidRPr="009A27B8">
        <w:rPr>
          <w:rFonts w:ascii="Calibri" w:eastAsia="Calibri" w:hAnsi="Calibri" w:cs="Calibri"/>
          <w:b/>
          <w:bCs/>
          <w:i/>
          <w:iCs/>
          <w:color w:val="FF0000"/>
          <w:szCs w:val="20"/>
          <w:u w:color="FF0000"/>
          <w:lang w:val="en-GB" w:eastAsia="nl-NL"/>
          <w14:textOutline w14:w="0" w14:cap="flat" w14:cmpd="sng" w14:algn="ctr">
            <w14:noFill/>
            <w14:prstDash w14:val="solid"/>
            <w14:bevel/>
          </w14:textOutline>
        </w:rPr>
        <w:lastRenderedPageBreak/>
        <w:t xml:space="preserve">OPTIONAL - ALLOW FOR OPTION TO PROCESS FOR ADDITIONAL, OWN DEFINED PURPOSES </w:t>
      </w:r>
    </w:p>
    <w:p w14:paraId="2AF67DE3" w14:textId="77777777" w:rsidR="009D6EB5" w:rsidRPr="009A27B8" w:rsidRDefault="009D6EB5" w:rsidP="009D6EB5">
      <w:pPr>
        <w:pBdr>
          <w:top w:val="single" w:sz="4" w:space="0" w:color="000000"/>
          <w:left w:val="single" w:sz="4" w:space="0" w:color="000000"/>
          <w:bottom w:val="single" w:sz="4" w:space="0" w:color="000000"/>
          <w:right w:val="single" w:sz="4" w:space="0" w:color="000000"/>
        </w:pBdr>
        <w:spacing w:after="260" w:line="260" w:lineRule="atLeast"/>
        <w:rPr>
          <w:rFonts w:ascii="Calibri" w:eastAsia="Calibri" w:hAnsi="Calibri" w:cs="Calibri"/>
          <w:color w:val="FF0000"/>
          <w:szCs w:val="20"/>
          <w:u w:color="FF0000"/>
          <w:lang w:val="en-GB" w:eastAsia="nl-NL"/>
          <w14:textOutline w14:w="0" w14:cap="flat" w14:cmpd="sng" w14:algn="ctr">
            <w14:noFill/>
            <w14:prstDash w14:val="solid"/>
            <w14:bevel/>
          </w14:textOutline>
        </w:rPr>
      </w:pPr>
      <w:r w:rsidRPr="009A27B8">
        <w:rPr>
          <w:rFonts w:ascii="Calibri" w:eastAsia="Calibri" w:hAnsi="Calibri" w:cs="Calibri"/>
          <w:color w:val="FF0000"/>
          <w:szCs w:val="20"/>
          <w:u w:color="FF0000"/>
          <w:lang w:val="en-GB" w:eastAsia="nl-NL"/>
          <w14:textOutline w14:w="0" w14:cap="flat" w14:cmpd="sng" w14:algn="ctr">
            <w14:noFill/>
            <w14:prstDash w14:val="solid"/>
            <w14:bevel/>
          </w14:textOutline>
        </w:rPr>
        <w:t>2.1.1 The Processor may also process the Personal Data for own internal purposes:</w:t>
      </w:r>
    </w:p>
    <w:p w14:paraId="4D48491A" w14:textId="555EB502" w:rsidR="009D6EB5" w:rsidRPr="009A27B8" w:rsidRDefault="009D6EB5" w:rsidP="009D6EB5">
      <w:pPr>
        <w:pBdr>
          <w:top w:val="single" w:sz="4" w:space="0" w:color="000000"/>
          <w:left w:val="single" w:sz="4" w:space="0" w:color="000000"/>
          <w:bottom w:val="single" w:sz="4" w:space="0" w:color="000000"/>
          <w:right w:val="single" w:sz="4" w:space="0" w:color="000000"/>
        </w:pBdr>
        <w:spacing w:after="260" w:line="260" w:lineRule="atLeast"/>
        <w:rPr>
          <w:rFonts w:ascii="Calibri" w:eastAsia="Calibri" w:hAnsi="Calibri" w:cs="Calibri"/>
          <w:color w:val="FF0000"/>
          <w:szCs w:val="20"/>
          <w:u w:color="FF0000"/>
          <w:lang w:val="en-GB" w:eastAsia="nl-NL"/>
          <w14:textOutline w14:w="0" w14:cap="flat" w14:cmpd="sng" w14:algn="ctr">
            <w14:noFill/>
            <w14:prstDash w14:val="solid"/>
            <w14:bevel/>
          </w14:textOutline>
        </w:rPr>
      </w:pPr>
      <w:r w:rsidRPr="009A27B8">
        <w:rPr>
          <w:rFonts w:ascii="Calibri" w:eastAsia="Calibri" w:hAnsi="Calibri" w:cs="Calibri"/>
          <w:color w:val="FF0000"/>
          <w:szCs w:val="20"/>
          <w:u w:color="FF0000"/>
          <w:lang w:val="en-GB" w:eastAsia="nl-NL"/>
          <w14:textOutline w14:w="0" w14:cap="flat" w14:cmpd="sng" w14:algn="ctr">
            <w14:noFill/>
            <w14:prstDash w14:val="solid"/>
            <w14:bevel/>
          </w14:textOutline>
        </w:rPr>
        <w:t>(ii) EXAMPLE: [to improve their own service provisioning including further specification/elaboration],</w:t>
      </w:r>
      <w:r w:rsidRPr="009A27B8">
        <w:rPr>
          <w:rFonts w:ascii="Calibri" w:eastAsia="Calibri" w:hAnsi="Calibri" w:cs="Calibri"/>
          <w:color w:val="FF0000"/>
          <w:szCs w:val="20"/>
          <w:u w:color="FF0000"/>
          <w:lang w:val="en-GB" w:eastAsia="nl-NL"/>
          <w14:textOutline w14:w="0" w14:cap="flat" w14:cmpd="sng" w14:algn="ctr">
            <w14:noFill/>
            <w14:prstDash w14:val="solid"/>
            <w14:bevel/>
          </w14:textOutline>
        </w:rPr>
        <w:br/>
        <w:t xml:space="preserve">(ii) EXAMPLE: [to </w:t>
      </w:r>
      <w:r w:rsidR="009A27B8" w:rsidRPr="009A27B8">
        <w:rPr>
          <w:rFonts w:ascii="Calibri" w:eastAsia="Calibri" w:hAnsi="Calibri" w:cs="Calibri"/>
          <w:color w:val="FF0000"/>
          <w:szCs w:val="20"/>
          <w:u w:color="FF0000"/>
          <w:lang w:val="en-GB" w:eastAsia="nl-NL"/>
          <w14:textOutline w14:w="0" w14:cap="flat" w14:cmpd="sng" w14:algn="ctr">
            <w14:noFill/>
            <w14:prstDash w14:val="solid"/>
            <w14:bevel/>
          </w14:textOutline>
        </w:rPr>
        <w:t>analyse</w:t>
      </w:r>
      <w:r w:rsidRPr="009A27B8">
        <w:rPr>
          <w:rFonts w:ascii="Calibri" w:eastAsia="Calibri" w:hAnsi="Calibri" w:cs="Calibri"/>
          <w:color w:val="FF0000"/>
          <w:szCs w:val="20"/>
          <w:u w:color="FF0000"/>
          <w:lang w:val="en-GB" w:eastAsia="nl-NL"/>
          <w14:textOutline w14:w="0" w14:cap="flat" w14:cmpd="sng" w14:algn="ctr">
            <w14:noFill/>
            <w14:prstDash w14:val="solid"/>
            <w14:bevel/>
          </w14:textOutline>
        </w:rPr>
        <w:t xml:space="preserve"> the use of their own service including further specification/elaboration],</w:t>
      </w:r>
      <w:r w:rsidRPr="009A27B8">
        <w:rPr>
          <w:rFonts w:ascii="Calibri" w:eastAsia="Calibri" w:hAnsi="Calibri" w:cs="Calibri"/>
          <w:color w:val="FF0000"/>
          <w:szCs w:val="20"/>
          <w:u w:color="FF0000"/>
          <w:lang w:val="en-GB" w:eastAsia="nl-NL"/>
          <w14:textOutline w14:w="0" w14:cap="flat" w14:cmpd="sng" w14:algn="ctr">
            <w14:noFill/>
            <w14:prstDash w14:val="solid"/>
            <w14:bevel/>
          </w14:textOutline>
        </w:rPr>
        <w:br/>
        <w:t>(iii) EXAMPLE: ....</w:t>
      </w:r>
    </w:p>
    <w:p w14:paraId="692949E7" w14:textId="77777777" w:rsidR="009D6EB5" w:rsidRPr="009A27B8" w:rsidRDefault="009D6EB5" w:rsidP="009D6EB5">
      <w:pPr>
        <w:pBdr>
          <w:top w:val="single" w:sz="4" w:space="0" w:color="000000"/>
          <w:left w:val="single" w:sz="4" w:space="0" w:color="000000"/>
          <w:bottom w:val="single" w:sz="4" w:space="0" w:color="000000"/>
          <w:right w:val="single" w:sz="4" w:space="0" w:color="000000"/>
        </w:pBdr>
        <w:spacing w:after="260" w:line="260" w:lineRule="atLeast"/>
        <w:rPr>
          <w:rFonts w:ascii="Calibri" w:eastAsia="Calibri" w:hAnsi="Calibri" w:cs="Calibri"/>
          <w:color w:val="FF0000"/>
          <w:szCs w:val="20"/>
          <w:u w:color="FF0000"/>
          <w:lang w:val="en-GB" w:eastAsia="nl-NL"/>
          <w14:textOutline w14:w="0" w14:cap="flat" w14:cmpd="sng" w14:algn="ctr">
            <w14:noFill/>
            <w14:prstDash w14:val="solid"/>
            <w14:bevel/>
          </w14:textOutline>
        </w:rPr>
      </w:pPr>
      <w:r w:rsidRPr="009A27B8">
        <w:rPr>
          <w:rFonts w:ascii="Calibri" w:eastAsia="Calibri" w:hAnsi="Calibri" w:cs="Calibri"/>
          <w:color w:val="FF0000"/>
          <w:szCs w:val="20"/>
          <w:u w:color="FF0000"/>
          <w:lang w:val="en-GB" w:eastAsia="nl-NL"/>
          <w14:textOutline w14:w="0" w14:cap="flat" w14:cmpd="sng" w14:algn="ctr">
            <w14:noFill/>
            <w14:prstDash w14:val="solid"/>
            <w14:bevel/>
          </w14:textOutline>
        </w:rPr>
        <w:t>For these Processing activities, the Processor is considered the Controller as defined under the GDPR. The obligations included in Articles 2.2 and 6.1 apply accordingly to these Processing activities.</w:t>
      </w:r>
    </w:p>
    <w:p w14:paraId="0036A331" w14:textId="39580ADB" w:rsidR="00586339" w:rsidRPr="009A27B8" w:rsidRDefault="00123D46" w:rsidP="00C0260C">
      <w:pPr>
        <w:pStyle w:val="Inspring1eniveauSURF"/>
      </w:pPr>
      <w:r w:rsidRPr="009A27B8">
        <w:t>2.2</w:t>
      </w:r>
      <w:r w:rsidRPr="009A27B8">
        <w:tab/>
      </w:r>
      <w:r w:rsidR="001A02CF">
        <w:t>T</w:t>
      </w:r>
      <w:r w:rsidR="001A02CF" w:rsidRPr="009A27B8">
        <w:t>he</w:t>
      </w:r>
      <w:r w:rsidR="00586339" w:rsidRPr="009A27B8">
        <w:t xml:space="preserve"> Processor carries out all Processing activities of Personal Data in accordance with the GDPR and other applicable data protection legislation and regulations, such as the GDPR Implementation Act and the Telecommunications Act (hereinafter: “Applicable Legislation”). </w:t>
      </w:r>
    </w:p>
    <w:p w14:paraId="31866932" w14:textId="53EEB21D" w:rsidR="00C0260C" w:rsidRPr="009A27B8" w:rsidRDefault="00586339" w:rsidP="00CF5EB5">
      <w:pPr>
        <w:pStyle w:val="Inspring1eniveauSURF"/>
        <w:numPr>
          <w:ilvl w:val="1"/>
          <w:numId w:val="33"/>
        </w:numPr>
      </w:pPr>
      <w:r w:rsidRPr="009A27B8">
        <w:t>The Processor informs the Controller immediately if:</w:t>
      </w:r>
    </w:p>
    <w:p w14:paraId="6A0D7264" w14:textId="77777777" w:rsidR="00CF5EB5" w:rsidRPr="009A27B8" w:rsidRDefault="00CF5EB5" w:rsidP="00CF5EB5">
      <w:pPr>
        <w:pStyle w:val="Inspring1eniveauSURF"/>
        <w:ind w:left="360" w:firstLine="0"/>
      </w:pPr>
    </w:p>
    <w:p w14:paraId="440582ED" w14:textId="77777777" w:rsidR="00917C41" w:rsidRPr="009A27B8" w:rsidRDefault="00586339" w:rsidP="00D05779">
      <w:pPr>
        <w:pStyle w:val="Lijstalinea"/>
        <w:numPr>
          <w:ilvl w:val="0"/>
          <w:numId w:val="32"/>
        </w:numPr>
        <w:spacing w:after="260" w:line="260" w:lineRule="atLeast"/>
        <w:contextualSpacing/>
        <w:rPr>
          <w:bCs/>
          <w:iCs/>
          <w:sz w:val="20"/>
          <w:szCs w:val="20"/>
          <w:lang w:val="en-GB"/>
        </w:rPr>
      </w:pPr>
      <w:r w:rsidRPr="009A27B8">
        <w:rPr>
          <w:sz w:val="20"/>
          <w:szCs w:val="20"/>
          <w:lang w:val="en-GB"/>
        </w:rPr>
        <w:t>an instr</w:t>
      </w:r>
      <w:r w:rsidRPr="009A27B8">
        <w:rPr>
          <w:bCs/>
          <w:iCs/>
          <w:sz w:val="20"/>
          <w:szCs w:val="20"/>
          <w:lang w:val="en-GB"/>
        </w:rPr>
        <w:t>uction by the Controller is in violation of the GDPR and/or Applicable Legislation;</w:t>
      </w:r>
    </w:p>
    <w:p w14:paraId="43916B95" w14:textId="77777777" w:rsidR="00917C41" w:rsidRPr="009A27B8" w:rsidRDefault="00586339" w:rsidP="00D05779">
      <w:pPr>
        <w:pStyle w:val="Lijstalinea"/>
        <w:numPr>
          <w:ilvl w:val="0"/>
          <w:numId w:val="32"/>
        </w:numPr>
        <w:spacing w:after="260" w:line="260" w:lineRule="atLeast"/>
        <w:contextualSpacing/>
        <w:rPr>
          <w:bCs/>
          <w:iCs/>
          <w:sz w:val="20"/>
          <w:szCs w:val="20"/>
          <w:lang w:val="en-GB"/>
        </w:rPr>
      </w:pPr>
      <w:r w:rsidRPr="009A27B8">
        <w:rPr>
          <w:bCs/>
          <w:iCs/>
          <w:sz w:val="20"/>
          <w:szCs w:val="20"/>
          <w:lang w:val="en-GB"/>
        </w:rPr>
        <w:t>the Processor is no longer able to comply with this Data Processing Agreement;</w:t>
      </w:r>
    </w:p>
    <w:p w14:paraId="1AD3C3E7" w14:textId="6274A5F7" w:rsidR="004E55B7" w:rsidRPr="009A27B8" w:rsidRDefault="00586339" w:rsidP="00D05779">
      <w:pPr>
        <w:pStyle w:val="Lijstalinea"/>
        <w:numPr>
          <w:ilvl w:val="0"/>
          <w:numId w:val="32"/>
        </w:numPr>
        <w:spacing w:after="260" w:line="260" w:lineRule="atLeast"/>
        <w:contextualSpacing/>
        <w:rPr>
          <w:bCs/>
          <w:iCs/>
          <w:sz w:val="20"/>
          <w:szCs w:val="20"/>
          <w:lang w:val="en-GB"/>
        </w:rPr>
      </w:pPr>
      <w:r w:rsidRPr="009A27B8">
        <w:rPr>
          <w:bCs/>
          <w:iCs/>
          <w:sz w:val="20"/>
          <w:szCs w:val="20"/>
          <w:lang w:val="en-GB"/>
        </w:rPr>
        <w:t xml:space="preserve">the Processor has a statutory obligation to process the Personal Data unless provision of that information is prohibited by law. </w:t>
      </w:r>
    </w:p>
    <w:p w14:paraId="43D1DA53" w14:textId="77777777" w:rsidR="004E55B7" w:rsidRPr="009A27B8" w:rsidRDefault="004E55B7" w:rsidP="00411CCF">
      <w:pPr>
        <w:pStyle w:val="Kop1zondernummerSURF"/>
        <w:rPr>
          <w:lang w:val="en-GB"/>
        </w:rPr>
      </w:pPr>
      <w:r w:rsidRPr="009A27B8">
        <w:rPr>
          <w:lang w:val="en-GB"/>
        </w:rPr>
        <w:t>ARTICLE 3</w:t>
      </w:r>
      <w:r w:rsidRPr="009A27B8">
        <w:rPr>
          <w:lang w:val="en-GB"/>
        </w:rPr>
        <w:tab/>
        <w:t>RENDERING COOPERATION</w:t>
      </w:r>
    </w:p>
    <w:p w14:paraId="490F24F2" w14:textId="123BCD34" w:rsidR="004E55B7" w:rsidRPr="009A27B8" w:rsidRDefault="004E55B7" w:rsidP="00C0260C">
      <w:pPr>
        <w:pStyle w:val="Inspring1eniveauSURF"/>
      </w:pPr>
      <w:r w:rsidRPr="009A27B8">
        <w:t>3.1</w:t>
      </w:r>
      <w:r w:rsidRPr="009A27B8">
        <w:tab/>
        <w:t>At the Controller’s request, the Processor shall cooperate immediately to comply with the Controller’s obligations in relation to the processing of Personal Data based on the GDPR and Applicable Legislation. This cooperation, defined in more detail for several topics in this Data Processing Agreement, includes the following:</w:t>
      </w:r>
    </w:p>
    <w:p w14:paraId="6CD0020A" w14:textId="77777777" w:rsidR="004E55B7" w:rsidRPr="009A27B8" w:rsidRDefault="004E55B7" w:rsidP="00C0260C">
      <w:pPr>
        <w:pStyle w:val="Inspring1eniveauSURF"/>
      </w:pPr>
    </w:p>
    <w:p w14:paraId="6509424F" w14:textId="77777777" w:rsidR="004E55B7" w:rsidRPr="009A27B8" w:rsidRDefault="004E55B7" w:rsidP="00D05779">
      <w:pPr>
        <w:pStyle w:val="Lijstalinea"/>
        <w:numPr>
          <w:ilvl w:val="0"/>
          <w:numId w:val="37"/>
        </w:numPr>
        <w:spacing w:after="260" w:line="260" w:lineRule="atLeast"/>
        <w:contextualSpacing/>
        <w:rPr>
          <w:sz w:val="20"/>
          <w:szCs w:val="20"/>
          <w:lang w:val="en-GB"/>
        </w:rPr>
      </w:pPr>
      <w:r w:rsidRPr="009A27B8">
        <w:rPr>
          <w:sz w:val="20"/>
          <w:szCs w:val="20"/>
          <w:lang w:val="en-GB"/>
        </w:rPr>
        <w:t>to comply with requests by Data Subjects;</w:t>
      </w:r>
    </w:p>
    <w:p w14:paraId="2F41CE35" w14:textId="77777777" w:rsidR="004E55B7" w:rsidRPr="009A27B8" w:rsidRDefault="004E55B7" w:rsidP="00D05779">
      <w:pPr>
        <w:pStyle w:val="Lijstalinea"/>
        <w:numPr>
          <w:ilvl w:val="0"/>
          <w:numId w:val="37"/>
        </w:numPr>
        <w:spacing w:after="260" w:line="260" w:lineRule="atLeast"/>
        <w:contextualSpacing/>
        <w:rPr>
          <w:sz w:val="20"/>
          <w:szCs w:val="20"/>
          <w:lang w:val="en-GB"/>
        </w:rPr>
      </w:pPr>
      <w:r w:rsidRPr="009A27B8">
        <w:rPr>
          <w:sz w:val="20"/>
          <w:szCs w:val="20"/>
          <w:lang w:val="en-GB"/>
        </w:rPr>
        <w:t>to implement Data Protection Impact Assessments (DPIAs) and prior consultation with the Supervisory Authorities;</w:t>
      </w:r>
    </w:p>
    <w:p w14:paraId="0A908440" w14:textId="77777777" w:rsidR="004E55B7" w:rsidRPr="009A27B8" w:rsidRDefault="004E55B7" w:rsidP="00D05779">
      <w:pPr>
        <w:pStyle w:val="Lijstalinea"/>
        <w:numPr>
          <w:ilvl w:val="0"/>
          <w:numId w:val="37"/>
        </w:numPr>
        <w:spacing w:after="260" w:line="260" w:lineRule="atLeast"/>
        <w:contextualSpacing/>
        <w:rPr>
          <w:sz w:val="20"/>
          <w:szCs w:val="20"/>
          <w:lang w:val="en-GB"/>
        </w:rPr>
      </w:pPr>
      <w:r w:rsidRPr="009A27B8">
        <w:rPr>
          <w:sz w:val="20"/>
          <w:szCs w:val="20"/>
          <w:lang w:val="en-GB"/>
        </w:rPr>
        <w:t xml:space="preserve"> to implement Data Transfer Impact Assessments (DTIAs); </w:t>
      </w:r>
    </w:p>
    <w:p w14:paraId="652E392E" w14:textId="77777777" w:rsidR="004E55B7" w:rsidRPr="009A27B8" w:rsidRDefault="004E55B7" w:rsidP="00D05779">
      <w:pPr>
        <w:pStyle w:val="Lijstalinea"/>
        <w:numPr>
          <w:ilvl w:val="0"/>
          <w:numId w:val="37"/>
        </w:numPr>
        <w:spacing w:after="260" w:line="260" w:lineRule="atLeast"/>
        <w:contextualSpacing/>
        <w:rPr>
          <w:sz w:val="20"/>
          <w:szCs w:val="20"/>
          <w:lang w:val="en-GB"/>
        </w:rPr>
      </w:pPr>
      <w:r w:rsidRPr="009A27B8">
        <w:rPr>
          <w:sz w:val="20"/>
          <w:szCs w:val="20"/>
          <w:lang w:val="en-GB"/>
        </w:rPr>
        <w:t xml:space="preserve"> to comply with requests by national or international governments. </w:t>
      </w:r>
    </w:p>
    <w:p w14:paraId="395480D0" w14:textId="77777777" w:rsidR="004E55B7" w:rsidRPr="009A27B8" w:rsidRDefault="004E55B7" w:rsidP="004E55B7">
      <w:pPr>
        <w:pStyle w:val="Body"/>
        <w:rPr>
          <w:lang w:val="en-GB"/>
        </w:rPr>
      </w:pPr>
      <w:r w:rsidRPr="009A27B8">
        <w:rPr>
          <w:rFonts w:eastAsia="Arial Unicode MS" w:cs="Arial Unicode MS"/>
          <w:lang w:val="en-GB"/>
        </w:rPr>
        <w:t>3.2 If the Processor receives a request from a national or international government related to the processing of Personal Data, then:</w:t>
      </w:r>
    </w:p>
    <w:p w14:paraId="79DE8300" w14:textId="77777777" w:rsidR="004E55B7" w:rsidRPr="009A27B8" w:rsidRDefault="004E55B7" w:rsidP="00D05779">
      <w:pPr>
        <w:pStyle w:val="Lijstalinea"/>
        <w:numPr>
          <w:ilvl w:val="0"/>
          <w:numId w:val="38"/>
        </w:numPr>
        <w:spacing w:after="260" w:line="260" w:lineRule="atLeast"/>
        <w:contextualSpacing/>
        <w:rPr>
          <w:sz w:val="20"/>
          <w:szCs w:val="20"/>
          <w:lang w:val="en-GB"/>
        </w:rPr>
      </w:pPr>
      <w:r w:rsidRPr="009A27B8">
        <w:rPr>
          <w:sz w:val="20"/>
          <w:szCs w:val="20"/>
          <w:lang w:val="en-GB"/>
        </w:rPr>
        <w:t>the Processor shall immediately contact the Controller, and</w:t>
      </w:r>
    </w:p>
    <w:p w14:paraId="2B7F6F07" w14:textId="70CFE76F" w:rsidR="004E55B7" w:rsidRPr="009A27B8" w:rsidRDefault="004E55B7" w:rsidP="00D05779">
      <w:pPr>
        <w:pStyle w:val="Lijstalinea"/>
        <w:numPr>
          <w:ilvl w:val="0"/>
          <w:numId w:val="38"/>
        </w:numPr>
        <w:spacing w:after="260" w:line="260" w:lineRule="atLeast"/>
        <w:contextualSpacing/>
        <w:rPr>
          <w:sz w:val="20"/>
          <w:szCs w:val="20"/>
          <w:lang w:val="en-GB"/>
        </w:rPr>
      </w:pPr>
      <w:r w:rsidRPr="009A27B8">
        <w:rPr>
          <w:sz w:val="20"/>
          <w:szCs w:val="20"/>
          <w:lang w:val="en-GB"/>
        </w:rPr>
        <w:t>the Processor shall follow the Controller’s instructions.</w:t>
      </w:r>
    </w:p>
    <w:p w14:paraId="3E5B9D1F" w14:textId="77777777" w:rsidR="00484C58" w:rsidRPr="009A27B8" w:rsidRDefault="00484C58" w:rsidP="00411CCF">
      <w:pPr>
        <w:pStyle w:val="Kop1zondernummerSURF"/>
        <w:rPr>
          <w:lang w:val="en-GB"/>
        </w:rPr>
      </w:pPr>
      <w:r w:rsidRPr="009A27B8">
        <w:rPr>
          <w:lang w:val="en-GB"/>
        </w:rPr>
        <w:t>ARTICLE 4</w:t>
      </w:r>
      <w:r w:rsidRPr="009A27B8">
        <w:rPr>
          <w:lang w:val="en-GB"/>
        </w:rPr>
        <w:tab/>
        <w:t>SUB-PROCESSORS</w:t>
      </w:r>
    </w:p>
    <w:p w14:paraId="5BA77D4F" w14:textId="50EB73EF" w:rsidR="00484C58" w:rsidRPr="009A27B8" w:rsidRDefault="00484C58" w:rsidP="00C0260C">
      <w:pPr>
        <w:pStyle w:val="Inspring1eniveauSURF"/>
        <w:rPr>
          <w:bdr w:val="none" w:sz="0" w:space="0" w:color="auto"/>
        </w:rPr>
      </w:pPr>
      <w:r w:rsidRPr="009A27B8">
        <w:t>4.1</w:t>
      </w:r>
      <w:r w:rsidRPr="009A27B8">
        <w:tab/>
      </w:r>
      <w:r w:rsidRPr="009A27B8">
        <w:rPr>
          <w:bdr w:val="none" w:sz="0" w:space="0" w:color="auto"/>
        </w:rPr>
        <w:t xml:space="preserve">The Controller grants the Processor general authorization to engage another processor as defined in Article 28(4) of the GDPR (hereinafter: </w:t>
      </w:r>
      <w:r w:rsidRPr="009A27B8">
        <w:rPr>
          <w:b/>
          <w:bCs/>
          <w:bdr w:val="none" w:sz="0" w:space="0" w:color="auto"/>
        </w:rPr>
        <w:t>“Sub-processor”</w:t>
      </w:r>
      <w:r w:rsidRPr="009A27B8">
        <w:rPr>
          <w:bdr w:val="none" w:sz="0" w:space="0" w:color="auto"/>
        </w:rPr>
        <w:t xml:space="preserve">). The Sub-processors engaged by the Processor are listed in </w:t>
      </w:r>
      <w:r w:rsidRPr="009A27B8">
        <w:rPr>
          <w:u w:val="single"/>
          <w:bdr w:val="none" w:sz="0" w:space="0" w:color="auto"/>
        </w:rPr>
        <w:t>Annex A</w:t>
      </w:r>
      <w:r w:rsidRPr="009A27B8">
        <w:rPr>
          <w:bdr w:val="none" w:sz="0" w:space="0" w:color="auto"/>
        </w:rPr>
        <w:t>. The Processor shall follow the procedure in Article 11.3 for the intended modifications by Sub-processors.</w:t>
      </w:r>
    </w:p>
    <w:p w14:paraId="437F31BD" w14:textId="199EEB33" w:rsidR="00484C58" w:rsidRPr="009A27B8" w:rsidRDefault="00484C58" w:rsidP="00C0260C">
      <w:pPr>
        <w:pStyle w:val="Inspring1eniveauSURF"/>
        <w:rPr>
          <w:bdr w:val="none" w:sz="0" w:space="0" w:color="auto"/>
        </w:rPr>
      </w:pPr>
      <w:r w:rsidRPr="009A27B8">
        <w:rPr>
          <w:bdr w:val="none" w:sz="0" w:space="0" w:color="auto"/>
        </w:rPr>
        <w:lastRenderedPageBreak/>
        <w:t>4.2</w:t>
      </w:r>
      <w:r w:rsidRPr="009A27B8">
        <w:rPr>
          <w:bdr w:val="none" w:sz="0" w:space="0" w:color="auto"/>
        </w:rPr>
        <w:tab/>
        <w:t>The Processor shall remain fully liable to the Controller for the Sub-processors’ compliance with obligations.</w:t>
      </w:r>
    </w:p>
    <w:p w14:paraId="099B5551" w14:textId="4BAFA966" w:rsidR="004E55B7" w:rsidRPr="009A27B8" w:rsidRDefault="00484C58" w:rsidP="00C0260C">
      <w:pPr>
        <w:pStyle w:val="Inspring1eniveauSURF"/>
        <w:rPr>
          <w:bdr w:val="none" w:sz="0" w:space="0" w:color="auto"/>
        </w:rPr>
      </w:pPr>
      <w:r w:rsidRPr="009A27B8">
        <w:rPr>
          <w:bdr w:val="none" w:sz="0" w:space="0" w:color="auto"/>
        </w:rPr>
        <w:t>4.3</w:t>
      </w:r>
      <w:r w:rsidR="00A518A0" w:rsidRPr="009A27B8">
        <w:tab/>
      </w:r>
      <w:r w:rsidRPr="009A27B8">
        <w:rPr>
          <w:bdr w:val="none" w:sz="0" w:space="0" w:color="auto"/>
        </w:rPr>
        <w:t xml:space="preserve">The Processor contractually imposes the obligations of this Data Processing Agreement on the Sub-processors. The Processor shall, on request, provide the Controller with a copy of those obligations set out in a contract. The Processor is permitted to omit competition-sensitive information from the copy he provides to the Controller. </w:t>
      </w:r>
    </w:p>
    <w:p w14:paraId="6F50F7A7" w14:textId="77777777" w:rsidR="00C54988" w:rsidRPr="009A27B8" w:rsidRDefault="00C54988" w:rsidP="00411CCF">
      <w:pPr>
        <w:pStyle w:val="Kop1zondernummerSURF"/>
        <w:rPr>
          <w:lang w:val="en-GB"/>
        </w:rPr>
      </w:pPr>
      <w:r w:rsidRPr="009A27B8">
        <w:rPr>
          <w:lang w:val="en-GB"/>
        </w:rPr>
        <w:t>ARTICLE 5</w:t>
      </w:r>
      <w:r w:rsidRPr="009A27B8">
        <w:rPr>
          <w:lang w:val="en-GB"/>
        </w:rPr>
        <w:tab/>
        <w:t>CONFIDENTIALITY</w:t>
      </w:r>
    </w:p>
    <w:p w14:paraId="14846D6F" w14:textId="09456694" w:rsidR="00C54988" w:rsidRPr="009A27B8" w:rsidRDefault="00C54988" w:rsidP="00C0260C">
      <w:pPr>
        <w:pStyle w:val="Inspring1eniveauSURF"/>
      </w:pPr>
      <w:r w:rsidRPr="009A27B8">
        <w:t>5.1</w:t>
      </w:r>
      <w:bookmarkStart w:id="1" w:name="_Hlk5104115"/>
      <w:r w:rsidRPr="009A27B8">
        <w:tab/>
        <w:t>The Processor is obligated to maintain the confidentiality of the Personal Data. Individuals working for the Processor have signed a confidentiality agreement or are otherwise bound by a duty of confidentiality.</w:t>
      </w:r>
      <w:bookmarkEnd w:id="1"/>
      <w:r w:rsidRPr="009A27B8">
        <w:t xml:space="preserve"> The Controller may request proof of this. </w:t>
      </w:r>
    </w:p>
    <w:p w14:paraId="3766FADD" w14:textId="3A708259" w:rsidR="00C54988" w:rsidRPr="009A27B8" w:rsidRDefault="00C54988" w:rsidP="00C0260C">
      <w:pPr>
        <w:pStyle w:val="Inspring1eniveauSURF"/>
      </w:pPr>
      <w:r w:rsidRPr="009A27B8">
        <w:t>5.2</w:t>
      </w:r>
      <w:r w:rsidRPr="009A27B8">
        <w:tab/>
        <w:t>Confidentiality may be breached if this is necessary for the performance of the Agreement or this Data Processing Agreement, pursuant to Applicable Law, a ruling by a Dutch court or a court in another EU member state. In the event of a court ruling from a third country, the Processor shall first consult with the Controller before providing any Personal Data.</w:t>
      </w:r>
    </w:p>
    <w:p w14:paraId="2E6F0DBB" w14:textId="77777777" w:rsidR="00C54988" w:rsidRPr="009A27B8" w:rsidRDefault="00C54988" w:rsidP="00411CCF">
      <w:pPr>
        <w:pStyle w:val="Kop1zondernummerSURF"/>
        <w:rPr>
          <w:lang w:val="en-GB"/>
        </w:rPr>
      </w:pPr>
      <w:r w:rsidRPr="009A27B8">
        <w:rPr>
          <w:lang w:val="en-GB"/>
        </w:rPr>
        <w:t>ARTICLE 6</w:t>
      </w:r>
      <w:r w:rsidRPr="009A27B8">
        <w:rPr>
          <w:lang w:val="en-GB"/>
        </w:rPr>
        <w:tab/>
        <w:t>SECURITY</w:t>
      </w:r>
    </w:p>
    <w:p w14:paraId="04B2CB54" w14:textId="42578AAB" w:rsidR="00C54988" w:rsidRPr="009A27B8" w:rsidRDefault="00C54988" w:rsidP="00C0260C">
      <w:pPr>
        <w:pStyle w:val="Inspring1eniveauSURF"/>
      </w:pPr>
      <w:r w:rsidRPr="009A27B8">
        <w:t>6.1</w:t>
      </w:r>
      <w:r w:rsidRPr="009A27B8">
        <w:tab/>
        <w:t xml:space="preserve">The Processor takes appropriate technical and organizational measures as defined in Article 32 of the GDPR to protect the Personal Data. The measures implemented by the Processor are included in </w:t>
      </w:r>
      <w:r w:rsidRPr="009A27B8">
        <w:rPr>
          <w:u w:val="single"/>
        </w:rPr>
        <w:t>Annex B</w:t>
      </w:r>
      <w:r w:rsidRPr="009A27B8">
        <w:t xml:space="preserve">. </w:t>
      </w:r>
    </w:p>
    <w:p w14:paraId="5A2EFD3A" w14:textId="7AF7C33E" w:rsidR="00C54988" w:rsidRPr="009A27B8" w:rsidRDefault="00C54988" w:rsidP="00C0260C">
      <w:pPr>
        <w:pStyle w:val="Inspring1eniveauSURF"/>
      </w:pPr>
      <w:r w:rsidRPr="009A27B8">
        <w:t>6.1.1</w:t>
      </w:r>
      <w:r w:rsidR="00D6365C" w:rsidRPr="009A27B8">
        <w:tab/>
      </w:r>
      <w:r w:rsidRPr="009A27B8">
        <w:t xml:space="preserve">The Processor evaluates and updates the security measures periodically to ensure these remain compliant with the latest technology and provide an appropriate protection level. The Processor guarantees that the modifications to the security measures will not result in a lower protection level than agreed at the commencement of the Data Processing Agreement or as subsequently agreed in writing. The Processor is entitled to unilaterally amend </w:t>
      </w:r>
      <w:r w:rsidRPr="009A27B8">
        <w:rPr>
          <w:u w:val="single"/>
        </w:rPr>
        <w:t>Annex B</w:t>
      </w:r>
      <w:r w:rsidRPr="009A27B8">
        <w:t xml:space="preserve"> unilaterally to the most recent security standards. The Processor informs the Controller in writing about any modifications to </w:t>
      </w:r>
      <w:r w:rsidRPr="009A27B8">
        <w:rPr>
          <w:u w:val="single"/>
        </w:rPr>
        <w:t>Annex B.</w:t>
      </w:r>
    </w:p>
    <w:p w14:paraId="57B57E40" w14:textId="711C9CA3" w:rsidR="00C54988" w:rsidRPr="009A27B8" w:rsidRDefault="00C54988" w:rsidP="00C0260C">
      <w:pPr>
        <w:pStyle w:val="Inspring1eniveauSURF"/>
      </w:pPr>
      <w:r w:rsidRPr="009A27B8">
        <w:t>6.2</w:t>
      </w:r>
      <w:r w:rsidR="00D6365C" w:rsidRPr="009A27B8">
        <w:tab/>
      </w:r>
      <w:r w:rsidRPr="009A27B8">
        <w:t>The Processor documents its security policy in writing and, upon request by the Controller, provides evidence of the implemented measures. The Controller shall treat this information as confidential except where disclosure is required by a court order or at the request of a Supervisory Authority.</w:t>
      </w:r>
    </w:p>
    <w:p w14:paraId="0C9206FB" w14:textId="77777777" w:rsidR="00C54988" w:rsidRPr="009A27B8" w:rsidRDefault="00C54988" w:rsidP="00411CCF">
      <w:pPr>
        <w:pStyle w:val="Kop1zondernummerSURF"/>
        <w:rPr>
          <w:lang w:val="en-GB"/>
        </w:rPr>
      </w:pPr>
      <w:r w:rsidRPr="009A27B8">
        <w:rPr>
          <w:lang w:val="en-GB"/>
        </w:rPr>
        <w:t>ARTICLE 7</w:t>
      </w:r>
      <w:r w:rsidRPr="009A27B8">
        <w:rPr>
          <w:lang w:val="en-GB"/>
        </w:rPr>
        <w:tab/>
        <w:t>PERSONAL DATA BREACH</w:t>
      </w:r>
    </w:p>
    <w:p w14:paraId="68B93178" w14:textId="0E5FF596" w:rsidR="00C54988" w:rsidRPr="009A27B8" w:rsidRDefault="00C54988" w:rsidP="00C0260C">
      <w:pPr>
        <w:pStyle w:val="Inspring1eniveauSURF"/>
      </w:pPr>
      <w:r w:rsidRPr="009A27B8">
        <w:t>7.1</w:t>
      </w:r>
      <w:r w:rsidR="00D6365C" w:rsidRPr="009A27B8">
        <w:tab/>
      </w:r>
      <w:r w:rsidRPr="009A27B8">
        <w:t>If the Processor experiences a personal data breach (hereinafter: “Breach”) or has a reasonable suspicion thereof, the Processor shall inform the Controller Option: immediately \ within 24 hours \ within 48 hours of the Breach. The Processor shall, when providing information, at a minimum, provide the information set out in</w:t>
      </w:r>
      <w:r w:rsidRPr="009A27B8">
        <w:rPr>
          <w:u w:val="single"/>
        </w:rPr>
        <w:t xml:space="preserve"> Annex C</w:t>
      </w:r>
      <w:r w:rsidRPr="009A27B8">
        <w:t xml:space="preserve"> to the contact person mentioned in that annex. If it is not possible for the Processor to provide all this information immediately, the Processor shall supply this information to the Controller in stages.</w:t>
      </w:r>
    </w:p>
    <w:p w14:paraId="23ABA8BB" w14:textId="1A7861EF" w:rsidR="00C54988" w:rsidRPr="009A27B8" w:rsidRDefault="00C54988" w:rsidP="00C0260C">
      <w:pPr>
        <w:pStyle w:val="Inspring1eniveauSURF"/>
      </w:pPr>
      <w:r w:rsidRPr="009A27B8">
        <w:t>7.2</w:t>
      </w:r>
      <w:r w:rsidR="00D6365C" w:rsidRPr="009A27B8">
        <w:tab/>
      </w:r>
      <w:r w:rsidRPr="009A27B8">
        <w:t>The Processor shall not notify the Supervisory Authority and/or the affected Data Subjects of any Data Breaches, unless explicitly requested in writing by the Controller.</w:t>
      </w:r>
    </w:p>
    <w:p w14:paraId="0B74C323" w14:textId="38D5BD19" w:rsidR="00C54988" w:rsidRPr="009A27B8" w:rsidRDefault="00C54988" w:rsidP="00C0260C">
      <w:pPr>
        <w:pStyle w:val="Inspring1eniveauSURF"/>
      </w:pPr>
      <w:r w:rsidRPr="009A27B8">
        <w:lastRenderedPageBreak/>
        <w:t>7.3</w:t>
      </w:r>
      <w:r w:rsidR="00D6365C" w:rsidRPr="009A27B8">
        <w:tab/>
      </w:r>
      <w:r w:rsidRPr="009A27B8">
        <w:t>The Processor shall take measures as soon as possible to address the causes of the Breach and to mitigate or remedy any potential adverse consequences of the Breach to the greatest extent possible.</w:t>
      </w:r>
    </w:p>
    <w:p w14:paraId="196EC7D8" w14:textId="56BFE54B" w:rsidR="00C54988" w:rsidRPr="009A27B8" w:rsidRDefault="00C54988" w:rsidP="00C0260C">
      <w:pPr>
        <w:pStyle w:val="Inspring1eniveauSURF"/>
      </w:pPr>
      <w:r w:rsidRPr="009A27B8">
        <w:t>7.4</w:t>
      </w:r>
      <w:r w:rsidR="00D6365C" w:rsidRPr="009A27B8">
        <w:tab/>
      </w:r>
      <w:r w:rsidRPr="009A27B8">
        <w:t xml:space="preserve">The Parties keep the contact details in </w:t>
      </w:r>
      <w:r w:rsidRPr="009A27B8">
        <w:rPr>
          <w:u w:val="single"/>
        </w:rPr>
        <w:t xml:space="preserve">Annex C </w:t>
      </w:r>
      <w:r w:rsidRPr="009A27B8">
        <w:t xml:space="preserve">up to date and shall always immediately send any updated version to the other Party. </w:t>
      </w:r>
    </w:p>
    <w:p w14:paraId="6BFBB708" w14:textId="21AEEBBC" w:rsidR="00625CAE" w:rsidRPr="009A27B8" w:rsidRDefault="00625CAE" w:rsidP="00D972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szCs w:val="16"/>
          <w:lang w:val="en-GB"/>
        </w:rPr>
      </w:pPr>
    </w:p>
    <w:tbl>
      <w:tblPr>
        <w:tblStyle w:val="Tabelraster"/>
        <w:tblW w:w="0" w:type="auto"/>
        <w:tblInd w:w="-5" w:type="dxa"/>
        <w:tblLook w:val="04A0" w:firstRow="1" w:lastRow="0" w:firstColumn="1" w:lastColumn="0" w:noHBand="0" w:noVBand="1"/>
      </w:tblPr>
      <w:tblGrid>
        <w:gridCol w:w="8669"/>
      </w:tblGrid>
      <w:tr w:rsidR="00D972DF" w:rsidRPr="009A27B8" w14:paraId="2B109DB3" w14:textId="77777777" w:rsidTr="00D972DF">
        <w:tc>
          <w:tcPr>
            <w:tcW w:w="8669" w:type="dxa"/>
          </w:tcPr>
          <w:p w14:paraId="05EF570F" w14:textId="77777777" w:rsidR="00D972DF" w:rsidRPr="009A27B8" w:rsidRDefault="00D972DF" w:rsidP="00C0260C">
            <w:pPr>
              <w:pStyle w:val="Inspring1eniveauSURF"/>
              <w:rPr>
                <w:color w:val="FF0000"/>
              </w:rPr>
            </w:pPr>
            <w:r w:rsidRPr="009A27B8">
              <w:rPr>
                <w:color w:val="FF0000"/>
              </w:rPr>
              <w:t>OPTIONAL - THIS BLOCK CONTAINS FURTHER DETAILS ON BREACHES</w:t>
            </w:r>
          </w:p>
          <w:p w14:paraId="49EB8B61" w14:textId="77777777" w:rsidR="00D972DF" w:rsidRPr="009A27B8" w:rsidRDefault="00D972DF" w:rsidP="00C0260C">
            <w:pPr>
              <w:pStyle w:val="Inspring1eniveauSURF"/>
              <w:rPr>
                <w:color w:val="FF0000"/>
              </w:rPr>
            </w:pPr>
            <w:r w:rsidRPr="009A27B8">
              <w:rPr>
                <w:color w:val="FF0000"/>
              </w:rPr>
              <w:t>7.5</w:t>
            </w:r>
            <w:r w:rsidRPr="009A27B8">
              <w:rPr>
                <w:color w:val="FF0000"/>
              </w:rPr>
              <w:tab/>
              <w:t xml:space="preserve">The Processor has policy and procedures in place to: (i) detect Breaches as early as possible, (ii) inform the Controller pursuant to Article 7.1, (iii) respond promptly to a Breach, (iv) prevent and mitigate unauthorized access, alteration or dissemination of the Personal Data and (v) prevent a recurrence of the Breach. </w:t>
            </w:r>
          </w:p>
          <w:p w14:paraId="6C4EDEA9" w14:textId="49F1F60D" w:rsidR="00D972DF" w:rsidRPr="009A27B8" w:rsidRDefault="00D972DF" w:rsidP="00C0260C">
            <w:pPr>
              <w:pStyle w:val="Inspring1eniveauSURF"/>
              <w:rPr>
                <w:color w:val="FF0000"/>
              </w:rPr>
            </w:pPr>
            <w:r w:rsidRPr="009A27B8">
              <w:rPr>
                <w:color w:val="FF0000"/>
              </w:rPr>
              <w:t>7.6</w:t>
            </w:r>
            <w:r w:rsidRPr="009A27B8">
              <w:rPr>
                <w:color w:val="FF0000"/>
              </w:rPr>
              <w:tab/>
              <w:t>The Processor shall provide information about this policy and these procedures upon request by the Controller.</w:t>
            </w:r>
          </w:p>
          <w:p w14:paraId="055BBA8E" w14:textId="2F974201" w:rsidR="00D972DF" w:rsidRPr="009A27B8" w:rsidRDefault="00D972DF" w:rsidP="00C0260C">
            <w:pPr>
              <w:pStyle w:val="Inspring1eniveauSURF"/>
            </w:pPr>
            <w:r w:rsidRPr="009A27B8">
              <w:rPr>
                <w:color w:val="FF0000"/>
              </w:rPr>
              <w:t>7.7</w:t>
            </w:r>
            <w:r w:rsidRPr="009A27B8">
              <w:rPr>
                <w:color w:val="FF0000"/>
              </w:rPr>
              <w:tab/>
              <w:t>The Processor shall maintain a register of all Breaches related to the Processing of the Personal Data, containing details of the Breach, its consequences, and the (corrective) measures taken. The Processor shall provide a copy of this register upon request.</w:t>
            </w:r>
          </w:p>
        </w:tc>
      </w:tr>
    </w:tbl>
    <w:p w14:paraId="15CB2788" w14:textId="77777777" w:rsidR="004C0618" w:rsidRPr="009A27B8" w:rsidRDefault="004C0618" w:rsidP="00C0260C">
      <w:pPr>
        <w:pStyle w:val="Inspring1eniveauSURF"/>
      </w:pPr>
    </w:p>
    <w:p w14:paraId="70801337" w14:textId="77777777" w:rsidR="00C64BA5" w:rsidRPr="009A27B8" w:rsidRDefault="00C64BA5" w:rsidP="00411CCF">
      <w:pPr>
        <w:pStyle w:val="Kop1zondernummerSURF"/>
        <w:rPr>
          <w:lang w:val="en-GB"/>
        </w:rPr>
      </w:pPr>
      <w:r w:rsidRPr="009A27B8">
        <w:rPr>
          <w:lang w:val="en-GB"/>
        </w:rPr>
        <w:t>ARTICLE 8</w:t>
      </w:r>
      <w:r w:rsidRPr="009A27B8">
        <w:rPr>
          <w:lang w:val="en-GB"/>
        </w:rPr>
        <w:tab/>
        <w:t>AUDIT</w:t>
      </w:r>
    </w:p>
    <w:p w14:paraId="7C6E209C" w14:textId="61026B5D" w:rsidR="00C64BA5" w:rsidRPr="009A27B8" w:rsidRDefault="00C64BA5" w:rsidP="00C0260C">
      <w:pPr>
        <w:pStyle w:val="Inspring1eniveauSURF"/>
      </w:pPr>
      <w:r w:rsidRPr="009A27B8">
        <w:t>8.1</w:t>
      </w:r>
      <w:r w:rsidRPr="009A27B8">
        <w:tab/>
        <w:t xml:space="preserve">The Processor submits to the Controller all information necessary to demonstrate compliance with the obligations set out in this Data Processing Agreement. The Processor shall annually prepare an audit report demonstrating compliance with the obligations of this Data Processing Agreement and shall provide this report upon request. The report shall be prepared by an independent and qualified third party and shall include a statement confirming that the findings accurately reflect the reality. If specific circumstances, in the opinion of the Controller, warrant it, or if the Controller suspects that the Processor is failing to </w:t>
      </w:r>
      <w:r w:rsidR="00F50CE5" w:rsidRPr="009A27B8">
        <w:t>fulfil</w:t>
      </w:r>
      <w:r w:rsidRPr="009A27B8">
        <w:t xml:space="preserve"> its obligations, the Controller may conduct or commission its own audit. The Processor shall cooperate with such an audit, amongst others by granting access to systems and documents. The costs of such an audit shall be borne by the Controller unless the audit reveals that the Processor has failed to meet its obligations under this Data Processing Agreement.</w:t>
      </w:r>
    </w:p>
    <w:p w14:paraId="27E5F5C9" w14:textId="64CDDFF6" w:rsidR="00C64BA5" w:rsidRPr="009A27B8" w:rsidRDefault="00C64BA5" w:rsidP="00C0260C">
      <w:pPr>
        <w:pStyle w:val="Inspring1eniveauSURF"/>
      </w:pPr>
      <w:bookmarkStart w:id="2" w:name="_Hlk5104585"/>
      <w:r w:rsidRPr="009A27B8">
        <w:t>8.3</w:t>
      </w:r>
      <w:r w:rsidRPr="009A27B8">
        <w:tab/>
        <w:t xml:space="preserve">The Controller announces the audit at least fourteen (14) days in advance. The audit shall not unreasonably disrupt the Processor’s normal business activities. </w:t>
      </w:r>
    </w:p>
    <w:p w14:paraId="3C12F643" w14:textId="656C68B2" w:rsidR="00C64BA5" w:rsidRPr="009A27B8" w:rsidRDefault="00C64BA5" w:rsidP="00C0260C">
      <w:pPr>
        <w:pStyle w:val="Inspring1eniveauSURF"/>
      </w:pPr>
      <w:r w:rsidRPr="009A27B8">
        <w:t>8.4</w:t>
      </w:r>
      <w:r w:rsidRPr="009A27B8">
        <w:tab/>
        <w:t>The Controller handles all information from the audit in confidence and only shares it with those partners for who that knowledge is reasonably required. Neither the Controller nor the partners referred to above shall disclose or share the outcome of the audit with third parties unless compelled by law.</w:t>
      </w:r>
    </w:p>
    <w:p w14:paraId="3E7E44CD" w14:textId="7E33980F" w:rsidR="00C64BA5" w:rsidRPr="009A27B8" w:rsidRDefault="00C64BA5" w:rsidP="00C0260C">
      <w:pPr>
        <w:pStyle w:val="Inspring1eniveauSURF"/>
      </w:pPr>
      <w:r w:rsidRPr="009A27B8">
        <w:t>8.5</w:t>
      </w:r>
      <w:r w:rsidRPr="009A27B8">
        <w:tab/>
        <w:t xml:space="preserve">If the audit shows that the Processor failed to comply with the obligations of this Data Processing Agreement, the Processor shall immediately take all reasonable measures at his own cost to ensure compliance with these obligations. </w:t>
      </w:r>
      <w:bookmarkEnd w:id="2"/>
    </w:p>
    <w:p w14:paraId="0D224BDC" w14:textId="77777777" w:rsidR="00C64BA5" w:rsidRPr="009A27B8" w:rsidRDefault="00C64BA5" w:rsidP="00411CCF">
      <w:pPr>
        <w:pStyle w:val="Kop1zondernummerSURF"/>
        <w:rPr>
          <w:lang w:val="en-GB"/>
        </w:rPr>
      </w:pPr>
      <w:r w:rsidRPr="009A27B8">
        <w:rPr>
          <w:lang w:val="en-GB"/>
        </w:rPr>
        <w:lastRenderedPageBreak/>
        <w:t>ARTICLE 9</w:t>
      </w:r>
      <w:r w:rsidRPr="009A27B8">
        <w:rPr>
          <w:lang w:val="en-GB"/>
        </w:rPr>
        <w:tab/>
        <w:t>CROSS BORDER TRANSFER OF PERSONAL DATA</w:t>
      </w:r>
    </w:p>
    <w:p w14:paraId="77C4F329" w14:textId="3DDF781A" w:rsidR="00C64BA5" w:rsidRPr="009A27B8" w:rsidRDefault="00C64BA5" w:rsidP="00C0260C">
      <w:pPr>
        <w:pStyle w:val="Inspring1eniveauSURF"/>
      </w:pPr>
      <w:r w:rsidRPr="009A27B8">
        <w:t>9.1</w:t>
      </w:r>
      <w:r w:rsidR="00BC4302" w:rsidRPr="009A27B8">
        <w:tab/>
      </w:r>
      <w:r w:rsidRPr="009A27B8">
        <w:t xml:space="preserve">The Processor may only transfer Personal Data to a country outside the European Economic Area or to an international organization if: (i) the requirements of Articles 44 through 49 of the GDPR have been met, and (ii) the Controller has been informed in writing in a timely manner before the transfer begins. The transfers that occur are documented in </w:t>
      </w:r>
      <w:r w:rsidRPr="009A27B8">
        <w:rPr>
          <w:u w:val="single"/>
        </w:rPr>
        <w:t>Annex A</w:t>
      </w:r>
      <w:r w:rsidRPr="009A27B8">
        <w:t xml:space="preserve">. For any intended change to the transfers listed in </w:t>
      </w:r>
      <w:r w:rsidRPr="009A27B8">
        <w:rPr>
          <w:u w:val="single"/>
        </w:rPr>
        <w:t>Annex A</w:t>
      </w:r>
      <w:r w:rsidRPr="009A27B8">
        <w:t>, the Processor shall follow the procedure outlined in Article 11.3.</w:t>
      </w:r>
    </w:p>
    <w:p w14:paraId="59B16D98" w14:textId="0152C2B3" w:rsidR="00C64BA5" w:rsidRPr="009A27B8" w:rsidRDefault="00C64BA5" w:rsidP="00C0260C">
      <w:pPr>
        <w:pStyle w:val="Inspring1eniveauSURF"/>
      </w:pPr>
      <w:r w:rsidRPr="009A27B8">
        <w:t>9.2</w:t>
      </w:r>
      <w:r w:rsidR="00BC4302" w:rsidRPr="009A27B8">
        <w:tab/>
      </w:r>
      <w:r w:rsidRPr="009A27B8">
        <w:t xml:space="preserve">If a transfer occurs based on an adequacy decision by the European Commission, standard contractual clauses, or binding corporate rules, the Parties shall refer to the specific relevant documents in </w:t>
      </w:r>
      <w:r w:rsidRPr="009A27B8">
        <w:rPr>
          <w:u w:val="single"/>
        </w:rPr>
        <w:t>Annex A</w:t>
      </w:r>
      <w:r w:rsidRPr="009A27B8">
        <w:t xml:space="preserve"> or attach them as an appendix to this Data Processing Agreement. </w:t>
      </w:r>
    </w:p>
    <w:p w14:paraId="5139A6F6" w14:textId="4D6502C0" w:rsidR="00D972DF" w:rsidRPr="009A27B8" w:rsidRDefault="00C64BA5" w:rsidP="00C0260C">
      <w:pPr>
        <w:pStyle w:val="Inspring1eniveauSURF"/>
      </w:pPr>
      <w:r w:rsidRPr="009A27B8">
        <w:t>9.3</w:t>
      </w:r>
      <w:r w:rsidR="00BC4302" w:rsidRPr="009A27B8">
        <w:tab/>
      </w:r>
      <w:r w:rsidRPr="009A27B8">
        <w:t>If there is a change or addition to the requirements regarding cross border data transfers, for example due to court rulings, new or amended adequacy decisions or standard contractual clauses issued by the European Commission, or recommendations from Supervisory Authorities, the Processor shall take measures to comply with these revised or supplemented requirements</w:t>
      </w:r>
      <w:r w:rsidR="00BC4302" w:rsidRPr="009A27B8">
        <w:t>.</w:t>
      </w:r>
    </w:p>
    <w:p w14:paraId="3D015C13" w14:textId="77777777" w:rsidR="005B2968" w:rsidRPr="009A27B8" w:rsidRDefault="005B2968" w:rsidP="00411CCF">
      <w:pPr>
        <w:pStyle w:val="Kop1zondernummerSURF"/>
        <w:rPr>
          <w:lang w:val="en-GB"/>
        </w:rPr>
      </w:pPr>
      <w:r w:rsidRPr="009A27B8">
        <w:rPr>
          <w:lang w:val="en-GB"/>
        </w:rPr>
        <w:t>ARTICLE 10</w:t>
      </w:r>
      <w:r w:rsidRPr="009A27B8">
        <w:rPr>
          <w:lang w:val="en-GB"/>
        </w:rPr>
        <w:tab/>
        <w:t>INDEMNITY AND LIABILITY</w:t>
      </w:r>
    </w:p>
    <w:p w14:paraId="569BA77F" w14:textId="77777777" w:rsidR="00BC4302" w:rsidRPr="009A27B8" w:rsidRDefault="00BC4302" w:rsidP="00C0260C">
      <w:pPr>
        <w:pStyle w:val="Inspring1eniveauSURF"/>
      </w:pPr>
    </w:p>
    <w:tbl>
      <w:tblPr>
        <w:tblStyle w:val="Tabelraster"/>
        <w:tblW w:w="0" w:type="auto"/>
        <w:tblInd w:w="-5" w:type="dxa"/>
        <w:tblLook w:val="04A0" w:firstRow="1" w:lastRow="0" w:firstColumn="1" w:lastColumn="0" w:noHBand="0" w:noVBand="1"/>
      </w:tblPr>
      <w:tblGrid>
        <w:gridCol w:w="8669"/>
      </w:tblGrid>
      <w:tr w:rsidR="00594BA3" w:rsidRPr="009A27B8" w14:paraId="643CEDCA" w14:textId="77777777" w:rsidTr="004F6CC0">
        <w:tc>
          <w:tcPr>
            <w:tcW w:w="8669" w:type="dxa"/>
          </w:tcPr>
          <w:p w14:paraId="50B5F705" w14:textId="77777777" w:rsidR="004F6CC0" w:rsidRPr="009A27B8" w:rsidRDefault="004F6CC0" w:rsidP="00594BA3">
            <w:pPr>
              <w:pStyle w:val="Inspring1eniveauSURF"/>
              <w:spacing w:before="0"/>
              <w:rPr>
                <w:b/>
                <w:bCs/>
                <w:i/>
                <w:iCs/>
                <w:color w:val="FF0000"/>
              </w:rPr>
            </w:pPr>
            <w:r w:rsidRPr="009A27B8">
              <w:rPr>
                <w:b/>
                <w:bCs/>
                <w:i/>
                <w:iCs/>
                <w:color w:val="FF0000"/>
              </w:rPr>
              <w:t>ONE OF THE FOLLOWING 3 OPTIONS MUST BE SELECTED</w:t>
            </w:r>
          </w:p>
          <w:p w14:paraId="567756CF" w14:textId="77777777" w:rsidR="004F6CC0" w:rsidRPr="009A27B8" w:rsidRDefault="004F6CC0" w:rsidP="00594BA3">
            <w:pPr>
              <w:pStyle w:val="Inspring1eniveauSURF"/>
              <w:spacing w:before="0"/>
              <w:ind w:left="0" w:firstLine="0"/>
              <w:rPr>
                <w:b/>
                <w:bCs/>
                <w:color w:val="FF0000"/>
              </w:rPr>
            </w:pPr>
            <w:r w:rsidRPr="009A27B8">
              <w:rPr>
                <w:b/>
                <w:bCs/>
                <w:color w:val="FF0000"/>
                <w:u w:val="double"/>
              </w:rPr>
              <w:t>OPTION 1</w:t>
            </w:r>
            <w:r w:rsidRPr="009A27B8">
              <w:rPr>
                <w:b/>
                <w:bCs/>
                <w:color w:val="FF0000"/>
              </w:rPr>
              <w:t xml:space="preserve">: If the Agreement contains a comprehensive provision on indemnity, liability and compensation (including damages resulting from breaches of data protection and information security obligations) </w:t>
            </w:r>
          </w:p>
          <w:p w14:paraId="6FD24ECF" w14:textId="58F0E8F6" w:rsidR="004F6CC0" w:rsidRPr="009A27B8" w:rsidRDefault="004F6CC0" w:rsidP="00594BA3">
            <w:pPr>
              <w:pStyle w:val="Inspring1eniveauSURF"/>
              <w:spacing w:before="0"/>
              <w:rPr>
                <w:color w:val="FF0000"/>
              </w:rPr>
            </w:pPr>
            <w:r w:rsidRPr="009A27B8">
              <w:rPr>
                <w:color w:val="FF0000"/>
              </w:rPr>
              <w:t>10.1</w:t>
            </w:r>
            <w:r w:rsidRPr="009A27B8">
              <w:rPr>
                <w:color w:val="FF0000"/>
              </w:rPr>
              <w:tab/>
              <w:t>The provisions on indemnity, liability and compensation in the Agreement shall apply in full to this Data Processing Agreement.</w:t>
            </w:r>
          </w:p>
          <w:p w14:paraId="2ACF92F2" w14:textId="77777777" w:rsidR="006B3ED5" w:rsidRPr="009A27B8" w:rsidRDefault="004F6CC0" w:rsidP="00594BA3">
            <w:pPr>
              <w:pStyle w:val="Inspring1eniveauSURF"/>
              <w:spacing w:before="0"/>
              <w:ind w:left="0" w:firstLine="0"/>
              <w:rPr>
                <w:b/>
                <w:bCs/>
                <w:color w:val="FF0000"/>
              </w:rPr>
            </w:pPr>
            <w:r w:rsidRPr="009A27B8">
              <w:rPr>
                <w:b/>
                <w:bCs/>
                <w:color w:val="FF0000"/>
                <w:u w:val="double"/>
              </w:rPr>
              <w:t>OPTION 2</w:t>
            </w:r>
            <w:r w:rsidRPr="009A27B8">
              <w:rPr>
                <w:b/>
                <w:bCs/>
                <w:color w:val="FF0000"/>
              </w:rPr>
              <w:t>: If the Agreement does not contain, or does not provide, a comprehensive provision on indemnity, liability and compensation</w:t>
            </w:r>
          </w:p>
          <w:p w14:paraId="72264CCA" w14:textId="2C5DF011" w:rsidR="004F6CC0" w:rsidRPr="009A27B8" w:rsidRDefault="004F6CC0" w:rsidP="00594BA3">
            <w:pPr>
              <w:pStyle w:val="Inspring1eniveauSURF"/>
              <w:spacing w:before="0"/>
              <w:rPr>
                <w:color w:val="FF0000"/>
              </w:rPr>
            </w:pPr>
            <w:r w:rsidRPr="009A27B8">
              <w:rPr>
                <w:color w:val="FF0000"/>
              </w:rPr>
              <w:t xml:space="preserve">10.1 The Processor shall indemnify the Controller against all claims, fines, losses, damages, and expenses arising from, or related to, the Processor’s breach of this Data Processing Agreement. This indemnity shall take precedence over the provisions on indemnity, liability and compensation set forth in the Agreement. </w:t>
            </w:r>
          </w:p>
          <w:p w14:paraId="425CC94F" w14:textId="77777777" w:rsidR="004F6CC0" w:rsidRPr="009A27B8" w:rsidRDefault="004F6CC0" w:rsidP="00594BA3">
            <w:pPr>
              <w:pStyle w:val="Inspring1eniveauSURF"/>
              <w:spacing w:before="0"/>
              <w:ind w:left="0" w:firstLine="0"/>
              <w:rPr>
                <w:b/>
                <w:bCs/>
                <w:color w:val="FF0000"/>
              </w:rPr>
            </w:pPr>
            <w:r w:rsidRPr="009A27B8">
              <w:rPr>
                <w:b/>
                <w:bCs/>
                <w:color w:val="FF0000"/>
                <w:u w:val="double"/>
              </w:rPr>
              <w:t>OPTION 3</w:t>
            </w:r>
            <w:r w:rsidRPr="009A27B8">
              <w:rPr>
                <w:b/>
                <w:bCs/>
                <w:color w:val="FF0000"/>
              </w:rPr>
              <w:t>: If the Agreement does not contain, or does not provide, a comprehensive provision on indemnity, liability and compensation</w:t>
            </w:r>
          </w:p>
          <w:p w14:paraId="7CA3B323" w14:textId="27BF05C8" w:rsidR="004F6CC0" w:rsidRPr="009A27B8" w:rsidRDefault="004F6CC0" w:rsidP="00594BA3">
            <w:pPr>
              <w:pStyle w:val="Inspring1eniveauSURF"/>
              <w:spacing w:before="0"/>
              <w:rPr>
                <w:color w:val="FF0000"/>
              </w:rPr>
            </w:pPr>
            <w:r w:rsidRPr="009A27B8">
              <w:rPr>
                <w:color w:val="FF0000"/>
              </w:rPr>
              <w:t>10.1</w:t>
            </w:r>
            <w:r w:rsidRPr="009A27B8">
              <w:rPr>
                <w:color w:val="FF0000"/>
              </w:rPr>
              <w:tab/>
              <w:t xml:space="preserve">The Processor shall be liable for all damages suffered by the Controller (excluding lost profits), including fines imposed on the Controller by the Supervisory Authorities resulting from the Processor’s breach of this Data Processing Agreement. This liability provision takes precedence over the provisions on indemnity, liability and compensation set forth in the Agreement. </w:t>
            </w:r>
          </w:p>
          <w:p w14:paraId="2F1C44F2" w14:textId="77777777" w:rsidR="004F6CC0" w:rsidRPr="009A27B8" w:rsidRDefault="004F6CC0" w:rsidP="00594BA3">
            <w:pPr>
              <w:pStyle w:val="Inspring1eniveauSURF"/>
              <w:spacing w:before="0"/>
              <w:rPr>
                <w:b/>
                <w:bCs/>
                <w:color w:val="FF0000"/>
              </w:rPr>
            </w:pPr>
            <w:r w:rsidRPr="009A27B8">
              <w:rPr>
                <w:b/>
                <w:bCs/>
                <w:color w:val="FF0000"/>
              </w:rPr>
              <w:t>For options 2 and 3, the following provision may optionally be included.</w:t>
            </w:r>
          </w:p>
          <w:p w14:paraId="7537441C" w14:textId="21BC7359" w:rsidR="004F6CC0" w:rsidRPr="009A27B8" w:rsidRDefault="004F6CC0" w:rsidP="00594BA3">
            <w:pPr>
              <w:pStyle w:val="Inspring1eniveauSURF"/>
              <w:spacing w:before="0"/>
              <w:rPr>
                <w:color w:val="FF0000"/>
              </w:rPr>
            </w:pPr>
            <w:r w:rsidRPr="009A27B8">
              <w:rPr>
                <w:color w:val="FF0000"/>
              </w:rPr>
              <w:t>10.2</w:t>
            </w:r>
            <w:r w:rsidRPr="009A27B8">
              <w:rPr>
                <w:color w:val="FF0000"/>
              </w:rPr>
              <w:tab/>
              <w:t>The Processor shall maintain a valid liability insurance policy for the liability as referred to in Article</w:t>
            </w:r>
            <w:r w:rsidR="006B3ED5" w:rsidRPr="009A27B8">
              <w:rPr>
                <w:color w:val="FF0000"/>
              </w:rPr>
              <w:t xml:space="preserve"> </w:t>
            </w:r>
            <w:r w:rsidRPr="009A27B8">
              <w:rPr>
                <w:color w:val="FF0000"/>
              </w:rPr>
              <w:t>10.1 with a coverage amount of EUR 1,000,000 (one million euros) per incident and EUR 2,000,000 (two million euros) per year. Upon request from the Controller, the Processor shall provide a copy of (the certificate of) the insurance policy and its terms and conditions.</w:t>
            </w:r>
          </w:p>
        </w:tc>
      </w:tr>
    </w:tbl>
    <w:p w14:paraId="35302F14" w14:textId="77777777" w:rsidR="004F6CC0" w:rsidRPr="009A27B8" w:rsidRDefault="004F6CC0" w:rsidP="00C0260C">
      <w:pPr>
        <w:pStyle w:val="Inspring1eniveauSURF"/>
      </w:pPr>
    </w:p>
    <w:p w14:paraId="2932C96B" w14:textId="023CE268" w:rsidR="0060071A" w:rsidRPr="009A27B8" w:rsidRDefault="0060071A" w:rsidP="00411CCF">
      <w:pPr>
        <w:pStyle w:val="Kop1zondernummerSURF"/>
        <w:rPr>
          <w:lang w:val="en-GB"/>
        </w:rPr>
      </w:pPr>
      <w:r w:rsidRPr="009A27B8">
        <w:rPr>
          <w:lang w:val="en-GB"/>
        </w:rPr>
        <w:lastRenderedPageBreak/>
        <w:t>A</w:t>
      </w:r>
      <w:r w:rsidR="00A414D9" w:rsidRPr="009A27B8">
        <w:rPr>
          <w:lang w:val="en-GB"/>
        </w:rPr>
        <w:t>RTICLE</w:t>
      </w:r>
      <w:r w:rsidRPr="009A27B8">
        <w:rPr>
          <w:lang w:val="en-GB"/>
        </w:rPr>
        <w:t xml:space="preserve"> 11</w:t>
      </w:r>
      <w:r w:rsidRPr="009A27B8">
        <w:rPr>
          <w:lang w:val="en-GB"/>
        </w:rPr>
        <w:tab/>
        <w:t>AMENDMENT</w:t>
      </w:r>
    </w:p>
    <w:p w14:paraId="1C65D2E2" w14:textId="1353F3F8" w:rsidR="0060071A" w:rsidRPr="009A27B8" w:rsidRDefault="0060071A" w:rsidP="00C0260C">
      <w:pPr>
        <w:pStyle w:val="Inspring1eniveauSURF"/>
      </w:pPr>
      <w:r w:rsidRPr="009A27B8">
        <w:t>11.1</w:t>
      </w:r>
      <w:r w:rsidRPr="009A27B8">
        <w:tab/>
        <w:t xml:space="preserve">The Parties may amend or supplement this Data Processing Agreement only by means of a written agreement signed by both Parties, except for the modifications to the annexes described in this Data Processing Agreement. </w:t>
      </w:r>
    </w:p>
    <w:p w14:paraId="0957E6BF" w14:textId="56E04C66" w:rsidR="0060071A" w:rsidRPr="009A27B8" w:rsidRDefault="0060071A" w:rsidP="00C0260C">
      <w:pPr>
        <w:pStyle w:val="Inspring1eniveauSURF"/>
      </w:pPr>
      <w:r w:rsidRPr="009A27B8">
        <w:t>11.2</w:t>
      </w:r>
      <w:r w:rsidRPr="009A27B8">
        <w:tab/>
        <w:t>Amendments or additions to this Data Processing Agreement shall not contravene Applicable Law.</w:t>
      </w:r>
    </w:p>
    <w:p w14:paraId="76E6DD02" w14:textId="77777777" w:rsidR="00684989" w:rsidRPr="009A27B8" w:rsidRDefault="0060071A" w:rsidP="00C0260C">
      <w:pPr>
        <w:pStyle w:val="Inspring1eniveauSURF"/>
      </w:pPr>
      <w:r w:rsidRPr="009A27B8">
        <w:t>11.3</w:t>
      </w:r>
      <w:r w:rsidRPr="009A27B8">
        <w:tab/>
        <w:t>In the event of proposed changes to Sub-processors and data transfers outside the EEA, the Processor shall observe the following:</w:t>
      </w:r>
    </w:p>
    <w:p w14:paraId="7604DEBC" w14:textId="77777777" w:rsidR="00684989" w:rsidRPr="009A27B8" w:rsidRDefault="0060071A" w:rsidP="00645AE7">
      <w:pPr>
        <w:pStyle w:val="Inspring1eniveauSURF"/>
        <w:numPr>
          <w:ilvl w:val="0"/>
          <w:numId w:val="40"/>
        </w:numPr>
        <w:ind w:left="851"/>
      </w:pPr>
      <w:r w:rsidRPr="009A27B8">
        <w:t>The Processor shall inform the Controller in writing at the earliest opportunity about the intended modifications.</w:t>
      </w:r>
    </w:p>
    <w:p w14:paraId="3E91252B" w14:textId="77777777" w:rsidR="00684989" w:rsidRPr="009A27B8" w:rsidRDefault="0060071A" w:rsidP="00645AE7">
      <w:pPr>
        <w:pStyle w:val="Inspring1eniveauSURF"/>
        <w:numPr>
          <w:ilvl w:val="0"/>
          <w:numId w:val="40"/>
        </w:numPr>
        <w:ind w:left="851"/>
      </w:pPr>
      <w:r w:rsidRPr="009A27B8">
        <w:t xml:space="preserve">The Processor shall update </w:t>
      </w:r>
      <w:r w:rsidRPr="009A27B8">
        <w:rPr>
          <w:u w:val="single"/>
        </w:rPr>
        <w:t>Annex A</w:t>
      </w:r>
      <w:r w:rsidRPr="009A27B8">
        <w:t xml:space="preserve"> with the proposed changes.</w:t>
      </w:r>
    </w:p>
    <w:p w14:paraId="0F706738" w14:textId="77777777" w:rsidR="00684989" w:rsidRPr="009A27B8" w:rsidRDefault="0060071A" w:rsidP="00645AE7">
      <w:pPr>
        <w:pStyle w:val="Inspring1eniveauSURF"/>
        <w:numPr>
          <w:ilvl w:val="0"/>
          <w:numId w:val="40"/>
        </w:numPr>
        <w:ind w:left="851"/>
      </w:pPr>
      <w:r w:rsidRPr="009A27B8">
        <w:t xml:space="preserve">Upon receipt of the change request and the updated </w:t>
      </w:r>
      <w:r w:rsidRPr="009A27B8">
        <w:rPr>
          <w:u w:val="single"/>
        </w:rPr>
        <w:t>Annex A</w:t>
      </w:r>
      <w:r w:rsidRPr="009A27B8">
        <w:t xml:space="preserve">, the Controller shall have one (1) month to submit a written, substantiated objection. </w:t>
      </w:r>
    </w:p>
    <w:p w14:paraId="4D81F789" w14:textId="77777777" w:rsidR="00684989" w:rsidRPr="009A27B8" w:rsidRDefault="0060071A" w:rsidP="00645AE7">
      <w:pPr>
        <w:pStyle w:val="Inspring1eniveauSURF"/>
        <w:numPr>
          <w:ilvl w:val="0"/>
          <w:numId w:val="40"/>
        </w:numPr>
        <w:ind w:left="851"/>
      </w:pPr>
      <w:r w:rsidRPr="009A27B8">
        <w:t>In the event of an objection, the Parties shall enter into consultations. The proposed changes shall not take effect until the Parties have reached an agreement.</w:t>
      </w:r>
    </w:p>
    <w:p w14:paraId="70AAA709" w14:textId="6B5A4360" w:rsidR="00AD3251" w:rsidRPr="009A27B8" w:rsidRDefault="0060071A" w:rsidP="00645AE7">
      <w:pPr>
        <w:pStyle w:val="Inspring1eniveauSURF"/>
        <w:numPr>
          <w:ilvl w:val="0"/>
          <w:numId w:val="40"/>
        </w:numPr>
        <w:ind w:left="851"/>
      </w:pPr>
      <w:r w:rsidRPr="009A27B8">
        <w:t xml:space="preserve">If no solution is found within two (2) months following the objection, the Controller may terminate the Agreement with one (1) </w:t>
      </w:r>
      <w:r w:rsidR="00DA13FE" w:rsidRPr="009A27B8">
        <w:t>months’ notice</w:t>
      </w:r>
      <w:r w:rsidRPr="009A27B8">
        <w:t>, without being obligated to compensate costs or damages.</w:t>
      </w:r>
    </w:p>
    <w:p w14:paraId="6DBD284D" w14:textId="40E01C4E" w:rsidR="006B3ED5" w:rsidRPr="009A27B8" w:rsidRDefault="0060071A" w:rsidP="00645AE7">
      <w:pPr>
        <w:pStyle w:val="Inspring1eniveauSURF"/>
        <w:numPr>
          <w:ilvl w:val="0"/>
          <w:numId w:val="40"/>
        </w:numPr>
        <w:ind w:left="851"/>
      </w:pPr>
      <w:r w:rsidRPr="009A27B8">
        <w:t>If the Controller does not object within the specified period mentioned under clause 3, the proposed changes shall be deemed accepted after the expiration of this objection period.</w:t>
      </w:r>
    </w:p>
    <w:p w14:paraId="72D8C062" w14:textId="77777777" w:rsidR="00C8612C" w:rsidRPr="009A27B8" w:rsidRDefault="00C8612C" w:rsidP="00C8612C">
      <w:pPr>
        <w:pStyle w:val="Inspring1eniveauSURF"/>
        <w:ind w:left="1080" w:firstLine="0"/>
      </w:pPr>
    </w:p>
    <w:tbl>
      <w:tblPr>
        <w:tblStyle w:val="Tabelraster"/>
        <w:tblW w:w="0" w:type="auto"/>
        <w:tblInd w:w="-5" w:type="dxa"/>
        <w:tblLook w:val="04A0" w:firstRow="1" w:lastRow="0" w:firstColumn="1" w:lastColumn="0" w:noHBand="0" w:noVBand="1"/>
      </w:tblPr>
      <w:tblGrid>
        <w:gridCol w:w="8669"/>
      </w:tblGrid>
      <w:tr w:rsidR="00C8612C" w:rsidRPr="009A27B8" w14:paraId="169DB077" w14:textId="77777777" w:rsidTr="00C8612C">
        <w:tc>
          <w:tcPr>
            <w:tcW w:w="8669" w:type="dxa"/>
          </w:tcPr>
          <w:p w14:paraId="689750EC" w14:textId="77777777" w:rsidR="0038737B" w:rsidRPr="009A27B8" w:rsidRDefault="0038737B" w:rsidP="0038737B">
            <w:pPr>
              <w:pStyle w:val="Inspring1eniveauSURF"/>
              <w:pBdr>
                <w:top w:val="none" w:sz="0" w:space="0" w:color="auto"/>
                <w:left w:val="none" w:sz="0" w:space="0" w:color="auto"/>
                <w:bottom w:val="none" w:sz="0" w:space="0" w:color="auto"/>
                <w:right w:val="none" w:sz="0" w:space="0" w:color="auto"/>
                <w:between w:val="none" w:sz="0" w:space="0" w:color="auto"/>
                <w:bar w:val="none" w:sz="0" w:color="auto"/>
              </w:pBdr>
              <w:rPr>
                <w:b/>
                <w:bCs/>
                <w:i/>
                <w:iCs/>
                <w:color w:val="FF0000"/>
              </w:rPr>
            </w:pPr>
            <w:r w:rsidRPr="009A27B8">
              <w:rPr>
                <w:b/>
                <w:bCs/>
                <w:i/>
                <w:iCs/>
                <w:color w:val="FF0000"/>
              </w:rPr>
              <w:t>OPTIONAL - THIS BLOCK CONTAINS A PROVISION ON CHANGE OF CONTROL</w:t>
            </w:r>
          </w:p>
          <w:p w14:paraId="7DCC030B" w14:textId="30E9D42A" w:rsidR="00C8612C" w:rsidRPr="009A27B8" w:rsidRDefault="0038737B" w:rsidP="0038737B">
            <w:pPr>
              <w:pStyle w:val="Inspring1eniveauSURF"/>
            </w:pPr>
            <w:r w:rsidRPr="009A27B8">
              <w:rPr>
                <w:color w:val="FF0000"/>
              </w:rPr>
              <w:t>11.3</w:t>
            </w:r>
            <w:r w:rsidRPr="009A27B8">
              <w:rPr>
                <w:color w:val="FF0000"/>
              </w:rPr>
              <w:tab/>
              <w:t>In the event of a change in the control over the Processor, for example through a merger, acquisition or change in the ownership structure, the Processor shall inform the Controller of this as soon as possible. In such a case, the Controller shall have the right to terminate the Agreement in writing, subject to a notice of at least three (3) months.</w:t>
            </w:r>
          </w:p>
        </w:tc>
      </w:tr>
    </w:tbl>
    <w:p w14:paraId="26A615F7" w14:textId="77777777" w:rsidR="00BD72D6" w:rsidRPr="009A27B8" w:rsidRDefault="00BD72D6" w:rsidP="00411CCF">
      <w:pPr>
        <w:pStyle w:val="Kop1zondernummerSURF"/>
        <w:rPr>
          <w:lang w:val="en-GB"/>
        </w:rPr>
      </w:pPr>
      <w:r w:rsidRPr="009A27B8">
        <w:rPr>
          <w:lang w:val="en-GB"/>
        </w:rPr>
        <w:t>ARTICLE 12</w:t>
      </w:r>
      <w:r w:rsidRPr="009A27B8">
        <w:rPr>
          <w:lang w:val="en-GB"/>
        </w:rPr>
        <w:tab/>
        <w:t>EFFECTIVE DATE, DURATION AND TERMINATION</w:t>
      </w:r>
    </w:p>
    <w:p w14:paraId="674636B7" w14:textId="4672FBA7" w:rsidR="00BD72D6" w:rsidRPr="009A27B8" w:rsidRDefault="00BD72D6" w:rsidP="00BD72D6">
      <w:pPr>
        <w:pStyle w:val="Inspring1eniveauSURF"/>
      </w:pPr>
      <w:r w:rsidRPr="009A27B8">
        <w:t>12.1</w:t>
      </w:r>
      <w:r w:rsidRPr="009A27B8">
        <w:tab/>
        <w:t xml:space="preserve">This Data Processing Agreement shall come into force upon signature by the Parties. If the Processing of Personal Data commenced prior to the signing this Data Processing Agreement, this Data Processing Agreement shall apply retroactively as of the date on which the Processing began. </w:t>
      </w:r>
    </w:p>
    <w:p w14:paraId="0BADEEAA" w14:textId="11BE289F" w:rsidR="00BD72D6" w:rsidRPr="009A27B8" w:rsidRDefault="00BD72D6" w:rsidP="00BD72D6">
      <w:pPr>
        <w:pStyle w:val="Inspring1eniveauSURF"/>
      </w:pPr>
      <w:r w:rsidRPr="009A27B8">
        <w:t>12.2</w:t>
      </w:r>
      <w:r w:rsidRPr="009A27B8">
        <w:tab/>
        <w:t>This Data Processing Agreement cannot be terminated independently of the Agreement.</w:t>
      </w:r>
    </w:p>
    <w:p w14:paraId="2AA99D9E" w14:textId="10FA7DA4" w:rsidR="00BD72D6" w:rsidRPr="009A27B8" w:rsidRDefault="00BD72D6" w:rsidP="00BD72D6">
      <w:pPr>
        <w:pStyle w:val="Inspring1eniveauSURF"/>
      </w:pPr>
      <w:r w:rsidRPr="009A27B8">
        <w:t>12.3</w:t>
      </w:r>
      <w:r w:rsidRPr="009A27B8">
        <w:tab/>
        <w:t xml:space="preserve">Within one (1) month after the termination of the Agreement, regardless of the reason for such termination, the Processor shall destroy or return all Personal Data (including any copies held by Sub-processors). If the Controller opts for the return of the data, the Processor shall transfer the data in a commonly used format to the Controller or to another party designated by the Controller. If </w:t>
      </w:r>
      <w:r w:rsidRPr="009A27B8">
        <w:rPr>
          <w:u w:val="single"/>
        </w:rPr>
        <w:t xml:space="preserve">Annex A </w:t>
      </w:r>
      <w:r w:rsidRPr="009A27B8">
        <w:lastRenderedPageBreak/>
        <w:t xml:space="preserve">specifies a different retention period for specific Processing activities of Personal Data, that period shall prevail over the period in mentioned this article. </w:t>
      </w:r>
    </w:p>
    <w:p w14:paraId="4810702B" w14:textId="06B9D385" w:rsidR="00BD72D6" w:rsidRPr="009A27B8" w:rsidRDefault="00BD72D6" w:rsidP="00BD72D6">
      <w:pPr>
        <w:pStyle w:val="Inspring1eniveauSURF"/>
      </w:pPr>
      <w:r w:rsidRPr="009A27B8">
        <w:t>12.4</w:t>
      </w:r>
      <w:r w:rsidRPr="009A27B8">
        <w:tab/>
        <w:t>The Processor’s obligations under this Data Processing Agreement shall remain in effect until such time as the Processor no longer processes any Personal Data.</w:t>
      </w:r>
    </w:p>
    <w:p w14:paraId="39ABFD2F" w14:textId="3376E6F9" w:rsidR="00BD72D6" w:rsidRPr="009A27B8" w:rsidRDefault="00BD72D6" w:rsidP="00BD72D6">
      <w:pPr>
        <w:pStyle w:val="Inspring1eniveauSURF"/>
      </w:pPr>
      <w:r w:rsidRPr="009A27B8">
        <w:t>12.5</w:t>
      </w:r>
      <w:r w:rsidRPr="009A27B8">
        <w:tab/>
        <w:t>The Processor shall confirm in writing to the Controller that it has complied with all obligations in Article 12.3 upon request.</w:t>
      </w:r>
    </w:p>
    <w:p w14:paraId="6B903FAC" w14:textId="4E6D1CC3" w:rsidR="00BD72D6" w:rsidRPr="009A27B8" w:rsidRDefault="00BD72D6" w:rsidP="00645AE7">
      <w:pPr>
        <w:pStyle w:val="Kop1zondernummerSURF"/>
        <w:rPr>
          <w:lang w:val="en-GB"/>
        </w:rPr>
      </w:pPr>
      <w:r w:rsidRPr="009A27B8">
        <w:rPr>
          <w:lang w:val="en-GB"/>
        </w:rPr>
        <w:t>A</w:t>
      </w:r>
      <w:r w:rsidR="00645AE7" w:rsidRPr="009A27B8">
        <w:rPr>
          <w:lang w:val="en-GB"/>
        </w:rPr>
        <w:t>RTICLE</w:t>
      </w:r>
      <w:r w:rsidRPr="009A27B8">
        <w:rPr>
          <w:lang w:val="en-GB"/>
        </w:rPr>
        <w:t xml:space="preserve"> 13</w:t>
      </w:r>
      <w:r w:rsidRPr="009A27B8">
        <w:rPr>
          <w:lang w:val="en-GB"/>
        </w:rPr>
        <w:tab/>
        <w:t>APPLICABLE LAW, DISPUTE RESOLUTION AND HIERARCHY</w:t>
      </w:r>
    </w:p>
    <w:p w14:paraId="161CCC91" w14:textId="348E7D22" w:rsidR="00BD72D6" w:rsidRPr="009A27B8" w:rsidRDefault="00BD72D6" w:rsidP="00BD72D6">
      <w:pPr>
        <w:pStyle w:val="Inspring1eniveauSURF"/>
      </w:pPr>
      <w:r w:rsidRPr="009A27B8">
        <w:t>13.1</w:t>
      </w:r>
      <w:r w:rsidRPr="009A27B8">
        <w:tab/>
        <w:t>This Data Processing Agreement is subject to the same law as the Agreement.</w:t>
      </w:r>
    </w:p>
    <w:p w14:paraId="69E09E01" w14:textId="52274A0F" w:rsidR="00BD72D6" w:rsidRDefault="00BD72D6" w:rsidP="00BD72D6">
      <w:pPr>
        <w:pStyle w:val="Inspring1eniveauSURF"/>
      </w:pPr>
      <w:r w:rsidRPr="009A27B8">
        <w:t>13.2</w:t>
      </w:r>
      <w:r w:rsidRPr="009A27B8">
        <w:tab/>
        <w:t>Disputes arising from this Data Processing Agreement shall be submitted to the competent court as specified in the Agreement.</w:t>
      </w:r>
    </w:p>
    <w:p w14:paraId="3C174FE1" w14:textId="1850C636" w:rsidR="00442519" w:rsidRPr="009A27B8" w:rsidRDefault="00442519" w:rsidP="00442519">
      <w:pPr>
        <w:pStyle w:val="Inspring1eniveauSURF"/>
      </w:pPr>
      <w:r w:rsidRPr="00442519">
        <w:t>13.</w:t>
      </w:r>
      <w:r>
        <w:t>3</w:t>
      </w:r>
      <w:r w:rsidRPr="00442519">
        <w:tab/>
        <w:t xml:space="preserve">The original text of this </w:t>
      </w:r>
      <w:r w:rsidR="00BB0735">
        <w:t>Data Processing A</w:t>
      </w:r>
      <w:r w:rsidRPr="00442519">
        <w:t xml:space="preserve">greement is written in Dutch. In </w:t>
      </w:r>
      <w:r>
        <w:t xml:space="preserve">the event of </w:t>
      </w:r>
      <w:r w:rsidRPr="00442519">
        <w:t>differences in interpretation, the Dutch version shall prevail.</w:t>
      </w:r>
    </w:p>
    <w:p w14:paraId="691A8991" w14:textId="4956C775" w:rsidR="00BD72D6" w:rsidRDefault="00BD72D6" w:rsidP="00BD72D6">
      <w:pPr>
        <w:pStyle w:val="Inspring1eniveauSURF"/>
      </w:pPr>
      <w:r w:rsidRPr="009A27B8">
        <w:t>13.</w:t>
      </w:r>
      <w:r w:rsidR="00442519">
        <w:t>4</w:t>
      </w:r>
      <w:r w:rsidRPr="009A27B8">
        <w:tab/>
        <w:t xml:space="preserve">In the event of any conflict between this Data Processing Agreement and the Agreement concerning the Processing of Personal Data, the provisions of this Data Processing Agreement shall prevail. </w:t>
      </w:r>
    </w:p>
    <w:p w14:paraId="73978968" w14:textId="77777777" w:rsidR="00704C28" w:rsidRPr="009A27B8" w:rsidRDefault="00704C28" w:rsidP="00BD72D6">
      <w:pPr>
        <w:pStyle w:val="Inspring1eniveauSURF"/>
      </w:pPr>
    </w:p>
    <w:p w14:paraId="47A12B13" w14:textId="326F9B4A" w:rsidR="0072059D" w:rsidRPr="009A27B8" w:rsidRDefault="00DA13FE"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THUS,</w:t>
      </w:r>
      <w:r w:rsidR="0072059D" w:rsidRPr="009A27B8">
        <w:rPr>
          <w:rFonts w:ascii="Calibri" w:hAnsi="Calibri" w:cs="Arial Unicode MS"/>
          <w:color w:val="000000"/>
          <w:szCs w:val="20"/>
          <w:u w:color="000000"/>
          <w:lang w:val="en-GB" w:eastAsia="nl-NL"/>
          <w14:textOutline w14:w="0" w14:cap="flat" w14:cmpd="sng" w14:algn="ctr">
            <w14:noFill/>
            <w14:prstDash w14:val="solid"/>
            <w14:bevel/>
          </w14:textOutline>
        </w:rPr>
        <w:t xml:space="preserve"> AGREED BY THE PARTIES:</w:t>
      </w:r>
      <w:r w:rsidR="0072059D"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br/>
      </w:r>
    </w:p>
    <w:tbl>
      <w:tblPr>
        <w:tblStyle w:val="TableNormal"/>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72059D" w:rsidRPr="009A27B8" w14:paraId="12DABFFA" w14:textId="77777777" w:rsidTr="003A3743">
        <w:trPr>
          <w:trHeight w:val="257"/>
        </w:trPr>
        <w:tc>
          <w:tcPr>
            <w:tcW w:w="901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CFE4CF3" w14:textId="764AF7EB" w:rsidR="0072059D" w:rsidRPr="009A27B8" w:rsidRDefault="0072059D" w:rsidP="0072059D">
            <w:pPr>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Aptos" w:hAnsi="Calibri" w:cs="Aptos"/>
                <w:color w:val="000000"/>
                <w:kern w:val="2"/>
                <w:sz w:val="24"/>
                <w:u w:color="000000"/>
                <w:lang w:val="en-GB" w:eastAsia="nl-NL"/>
                <w14:textOutline w14:w="0" w14:cap="flat" w14:cmpd="sng" w14:algn="ctr">
                  <w14:noFill/>
                  <w14:prstDash w14:val="solid"/>
                  <w14:bevel/>
                </w14:textOutline>
              </w:rPr>
              <w:t xml:space="preserve">Fill out all </w:t>
            </w:r>
            <w:r w:rsidRPr="009A27B8">
              <w:rPr>
                <w:rFonts w:ascii="Calibri" w:eastAsia="Aptos" w:hAnsi="Calibri" w:cs="Aptos"/>
                <w:color w:val="000000"/>
                <w:kern w:val="2"/>
                <w:sz w:val="24"/>
                <w:u w:color="000000"/>
                <w:shd w:val="clear" w:color="auto" w:fill="FFFF00"/>
                <w:lang w:val="en-GB" w:eastAsia="nl-NL"/>
                <w14:textOutline w14:w="0" w14:cap="flat" w14:cmpd="sng" w14:algn="ctr">
                  <w14:noFill/>
                  <w14:prstDash w14:val="solid"/>
                  <w14:bevel/>
                </w14:textOutline>
              </w:rPr>
              <w:t>yellow highlights</w:t>
            </w:r>
            <w:r w:rsidRPr="009A27B8">
              <w:rPr>
                <w:rFonts w:ascii="Calibri" w:eastAsia="Aptos" w:hAnsi="Calibri" w:cs="Aptos"/>
                <w:color w:val="000000"/>
                <w:kern w:val="2"/>
                <w:sz w:val="24"/>
                <w:u w:color="000000"/>
                <w:lang w:val="en-GB" w:eastAsia="nl-NL"/>
                <w14:textOutline w14:w="0" w14:cap="flat" w14:cmpd="sng" w14:algn="ctr">
                  <w14:noFill/>
                  <w14:prstDash w14:val="solid"/>
                  <w14:bevel/>
                </w14:textOutline>
              </w:rPr>
              <w:t xml:space="preserve"> before signing this agreement</w:t>
            </w:r>
            <w:r w:rsidR="00246809">
              <w:rPr>
                <w:rFonts w:ascii="Calibri" w:eastAsia="Aptos" w:hAnsi="Calibri" w:cs="Aptos"/>
                <w:color w:val="000000"/>
                <w:kern w:val="2"/>
                <w:sz w:val="24"/>
                <w:u w:color="000000"/>
                <w:lang w:val="en-GB" w:eastAsia="nl-NL"/>
                <w14:textOutline w14:w="0" w14:cap="flat" w14:cmpd="sng" w14:algn="ctr">
                  <w14:noFill/>
                  <w14:prstDash w14:val="solid"/>
                  <w14:bevel/>
                </w14:textOutline>
              </w:rPr>
              <w:t xml:space="preserve"> and delete this bar.</w:t>
            </w:r>
          </w:p>
        </w:tc>
      </w:tr>
    </w:tbl>
    <w:p w14:paraId="6D03880C" w14:textId="77777777" w:rsidR="0072059D" w:rsidRPr="009A27B8" w:rsidRDefault="0072059D" w:rsidP="0072059D">
      <w:pPr>
        <w:widowControl w:val="0"/>
        <w:spacing w:after="260"/>
        <w:rPr>
          <w:rFonts w:ascii="Calibri" w:eastAsia="Calibri" w:hAnsi="Calibri" w:cs="Calibri"/>
          <w:color w:val="000000"/>
          <w:szCs w:val="20"/>
          <w:u w:color="000000"/>
          <w:lang w:val="en-GB" w:eastAsia="nl-NL"/>
          <w14:textOutline w14:w="0" w14:cap="flat" w14:cmpd="sng" w14:algn="ctr">
            <w14:noFill/>
            <w14:prstDash w14:val="solid"/>
            <w14:bevel/>
          </w14:textOutline>
        </w:rPr>
      </w:pPr>
    </w:p>
    <w:p w14:paraId="4D62A533" w14:textId="56E81F07" w:rsidR="0072059D" w:rsidRPr="009A27B8" w:rsidRDefault="0072059D"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w:t>
      </w:r>
      <w:r w:rsidRPr="009A27B8">
        <w:rPr>
          <w:rFonts w:ascii="Calibri" w:hAnsi="Calibri" w:cs="Arial Unicode MS"/>
          <w:b/>
          <w:bCs/>
          <w:color w:val="000000"/>
          <w:szCs w:val="20"/>
          <w:u w:color="000000"/>
          <w:shd w:val="clear" w:color="auto" w:fill="FFFF00"/>
          <w:lang w:val="en-GB" w:eastAsia="nl-NL"/>
          <w14:textOutline w14:w="0" w14:cap="flat" w14:cmpd="sng" w14:algn="ctr">
            <w14:noFill/>
            <w14:prstDash w14:val="solid"/>
            <w14:bevel/>
          </w14:textOutline>
        </w:rPr>
        <w:t>NAME CONTROLLER</w:t>
      </w: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w:t>
      </w: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ab/>
        <w:t>[</w:t>
      </w:r>
      <w:r w:rsidRPr="009A27B8">
        <w:rPr>
          <w:rFonts w:ascii="Calibri" w:hAnsi="Calibri" w:cs="Arial Unicode MS"/>
          <w:b/>
          <w:bCs/>
          <w:color w:val="000000"/>
          <w:szCs w:val="20"/>
          <w:u w:color="000000"/>
          <w:shd w:val="clear" w:color="auto" w:fill="FFFF00"/>
          <w:lang w:val="en-GB" w:eastAsia="nl-NL"/>
          <w14:textOutline w14:w="0" w14:cap="flat" w14:cmpd="sng" w14:algn="ctr">
            <w14:noFill/>
            <w14:prstDash w14:val="solid"/>
            <w14:bevel/>
          </w14:textOutline>
        </w:rPr>
        <w:t>NAME PROCESSOR</w:t>
      </w: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w:t>
      </w:r>
    </w:p>
    <w:p w14:paraId="5C686FE4" w14:textId="77777777" w:rsidR="0072059D" w:rsidRPr="009A27B8" w:rsidRDefault="0072059D"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b/>
          <w:bCs/>
          <w:color w:val="000000"/>
          <w:szCs w:val="20"/>
          <w:u w:color="000000"/>
          <w:lang w:val="en-GB" w:eastAsia="nl-NL"/>
          <w14:textOutline w14:w="0" w14:cap="flat" w14:cmpd="sng" w14:algn="ctr">
            <w14:noFill/>
            <w14:prstDash w14:val="solid"/>
            <w14:bevel/>
          </w14:textOutline>
        </w:rPr>
        <w:t> </w:t>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_____/_____/___________</w:t>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t>_____/_____/___________</w:t>
      </w:r>
    </w:p>
    <w:p w14:paraId="2D9959EB" w14:textId="3352D67F" w:rsidR="0072059D" w:rsidRPr="009A27B8" w:rsidRDefault="0072059D"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Date</w:t>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t xml:space="preserve"> </w:t>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t xml:space="preserve">Date </w:t>
      </w:r>
    </w:p>
    <w:p w14:paraId="6F1B48E9" w14:textId="77777777" w:rsidR="0072059D" w:rsidRPr="009A27B8" w:rsidRDefault="0072059D"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p>
    <w:p w14:paraId="04C909DC" w14:textId="77777777" w:rsidR="0072059D" w:rsidRPr="009A27B8" w:rsidRDefault="0072059D"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______________________</w:t>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t>______________________</w:t>
      </w:r>
    </w:p>
    <w:p w14:paraId="2F8BF019" w14:textId="77777777" w:rsidR="0072059D" w:rsidRPr="009A27B8" w:rsidRDefault="0072059D"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Name</w:t>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t xml:space="preserve">     </w:t>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t>Name</w:t>
      </w:r>
    </w:p>
    <w:p w14:paraId="2686CB3F" w14:textId="77777777" w:rsidR="0072059D" w:rsidRPr="009A27B8" w:rsidRDefault="0072059D"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 </w:t>
      </w:r>
    </w:p>
    <w:p w14:paraId="1C2FF366" w14:textId="77777777" w:rsidR="0072059D" w:rsidRPr="009A27B8" w:rsidRDefault="0072059D" w:rsidP="0072059D">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 _____________________</w:t>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ab/>
        <w:t>______________________</w:t>
      </w:r>
    </w:p>
    <w:p w14:paraId="76995CC7" w14:textId="77777777" w:rsidR="0072059D" w:rsidRPr="009A27B8" w:rsidRDefault="0072059D" w:rsidP="0072059D">
      <w:pPr>
        <w:spacing w:after="260" w:line="260" w:lineRule="atLeast"/>
        <w:rPr>
          <w:rFonts w:ascii="Calibri" w:eastAsia="Calibri" w:hAnsi="Calibri" w:cs="Calibri"/>
          <w:i/>
          <w:iCs/>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Signature</w:t>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r>
      <w:r w:rsidRPr="009A27B8">
        <w:rPr>
          <w:rFonts w:ascii="Calibri" w:hAnsi="Calibri" w:cs="Arial Unicode MS"/>
          <w:i/>
          <w:iCs/>
          <w:color w:val="000000"/>
          <w:szCs w:val="20"/>
          <w:u w:color="000000"/>
          <w:lang w:val="en-GB" w:eastAsia="nl-NL"/>
          <w14:textOutline w14:w="0" w14:cap="flat" w14:cmpd="sng" w14:algn="ctr">
            <w14:noFill/>
            <w14:prstDash w14:val="solid"/>
            <w14:bevel/>
          </w14:textOutline>
        </w:rPr>
        <w:tab/>
        <w:t>Signature</w:t>
      </w:r>
    </w:p>
    <w:p w14:paraId="616F3A77" w14:textId="7B1BCA54" w:rsidR="007C6838" w:rsidRPr="009A27B8" w:rsidRDefault="007C683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szCs w:val="16"/>
          <w:lang w:val="en-GB"/>
        </w:rPr>
      </w:pPr>
      <w:r w:rsidRPr="009A27B8">
        <w:rPr>
          <w:lang w:val="en-GB"/>
        </w:rPr>
        <w:br w:type="page"/>
      </w:r>
    </w:p>
    <w:p w14:paraId="7D551F60" w14:textId="461DF8CF" w:rsidR="005F0506" w:rsidRPr="009A27B8" w:rsidRDefault="00B17034" w:rsidP="00A414D9">
      <w:pPr>
        <w:pStyle w:val="Kop1zondernummerSURF"/>
        <w:jc w:val="center"/>
        <w:rPr>
          <w:lang w:val="en-GB"/>
        </w:rPr>
      </w:pPr>
      <w:r w:rsidRPr="009A27B8">
        <w:rPr>
          <w:u w:val="single"/>
          <w:lang w:val="en-GB"/>
        </w:rPr>
        <w:lastRenderedPageBreak/>
        <w:t>Annex A</w:t>
      </w:r>
      <w:r w:rsidRPr="009A27B8">
        <w:rPr>
          <w:lang w:val="en-GB"/>
        </w:rPr>
        <w:t>: Specification of Personal Data Processing Activities</w:t>
      </w:r>
    </w:p>
    <w:p w14:paraId="169CECE7" w14:textId="77777777" w:rsidR="00742665" w:rsidRPr="009A27B8" w:rsidRDefault="00742665" w:rsidP="00742665">
      <w:pPr>
        <w:pStyle w:val="BasistekstSURF"/>
        <w:rPr>
          <w:lang w:val="en-GB"/>
        </w:rPr>
      </w:pPr>
    </w:p>
    <w:tbl>
      <w:tblPr>
        <w:tblStyle w:val="TableNormal"/>
        <w:tblW w:w="87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24"/>
        <w:gridCol w:w="2159"/>
        <w:gridCol w:w="1388"/>
        <w:gridCol w:w="1487"/>
        <w:gridCol w:w="2135"/>
      </w:tblGrid>
      <w:tr w:rsidR="005F0506" w:rsidRPr="009A27B8" w14:paraId="24E6D7A2" w14:textId="77777777" w:rsidTr="007528A0">
        <w:trPr>
          <w:trHeight w:val="695"/>
          <w:jc w:val="center"/>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19392"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Description of processing (‘What are you going to do?’)</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71EE1"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Purpose of the processing activities (‘Why are you going to do this?’)</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88B95"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Data Subjects</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FB7E9"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 xml:space="preserve">Personal Data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F24E2"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Retention periods of Personal Data</w:t>
            </w:r>
          </w:p>
        </w:tc>
      </w:tr>
      <w:tr w:rsidR="005F0506" w:rsidRPr="009A27B8" w14:paraId="4CEADAE0" w14:textId="77777777" w:rsidTr="007528A0">
        <w:trPr>
          <w:trHeight w:val="175"/>
          <w:jc w:val="center"/>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B1A0C"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shd w:val="clear" w:color="auto" w:fill="FFFF00"/>
                <w:lang w:val="en-GB" w:eastAsia="nl-NL"/>
                <w14:textOutline w14:w="0" w14:cap="flat" w14:cmpd="sng" w14:algn="ctr">
                  <w14:noFill/>
                  <w14:prstDash w14:val="solid"/>
                  <w14:bevel/>
                </w14:textOutline>
              </w:rPr>
              <w:t xml:space="preserve"> 1 …. </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3210A"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lang w:val="en-GB" w:eastAsia="nl-NL"/>
                <w14:textOutline w14:w="0" w14:cap="flat" w14:cmpd="sng" w14:algn="ctr">
                  <w14:noFill/>
                  <w14:prstDash w14:val="solid"/>
                  <w14:bevel/>
                </w14:textOutline>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75EF0"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lang w:val="en-GB" w:eastAsia="nl-NL"/>
                <w14:textOutline w14:w="0" w14:cap="flat" w14:cmpd="sng" w14:algn="ctr">
                  <w14:noFill/>
                  <w14:prstDash w14:val="solid"/>
                  <w14:bevel/>
                </w14:textOutline>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20304"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lang w:val="en-GB" w:eastAsia="nl-NL"/>
                <w14:textOutline w14:w="0" w14:cap="flat" w14:cmpd="sng" w14:algn="ctr">
                  <w14:noFill/>
                  <w14:prstDash w14:val="solid"/>
                  <w14:bevel/>
                </w14:textOutline>
              </w:rPr>
              <w:t xml:space="preserve">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A8485" w14:textId="77777777" w:rsidR="005F0506" w:rsidRPr="009A27B8" w:rsidRDefault="005F0506" w:rsidP="005F0506">
            <w:pPr>
              <w:rPr>
                <w:rFonts w:ascii="Calibri" w:hAnsi="Calibri"/>
                <w:lang w:val="en-GB"/>
              </w:rPr>
            </w:pPr>
          </w:p>
        </w:tc>
      </w:tr>
      <w:tr w:rsidR="005F0506" w:rsidRPr="009A27B8" w14:paraId="7009EA62" w14:textId="77777777" w:rsidTr="007528A0">
        <w:trPr>
          <w:trHeight w:val="175"/>
          <w:jc w:val="center"/>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BA741"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shd w:val="clear" w:color="auto" w:fill="FFFF00"/>
                <w:lang w:val="en-GB" w:eastAsia="nl-NL"/>
                <w14:textOutline w14:w="0" w14:cap="flat" w14:cmpd="sng" w14:algn="ctr">
                  <w14:noFill/>
                  <w14:prstDash w14:val="solid"/>
                  <w14:bevel/>
                </w14:textOutline>
              </w:rPr>
              <w:t xml:space="preserve"> 2 ….</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C4752"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lang w:val="en-GB" w:eastAsia="nl-NL"/>
                <w14:textOutline w14:w="0" w14:cap="flat" w14:cmpd="sng" w14:algn="ctr">
                  <w14:noFill/>
                  <w14:prstDash w14:val="solid"/>
                  <w14:bevel/>
                </w14:textOutline>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90568"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lang w:val="en-GB" w:eastAsia="nl-NL"/>
                <w14:textOutline w14:w="0" w14:cap="flat" w14:cmpd="sng" w14:algn="ctr">
                  <w14:noFill/>
                  <w14:prstDash w14:val="solid"/>
                  <w14:bevel/>
                </w14:textOutline>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140D8" w14:textId="77777777" w:rsidR="005F0506" w:rsidRPr="009A27B8" w:rsidRDefault="005F0506" w:rsidP="005F0506">
            <w:pPr>
              <w:spacing w:after="1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lang w:val="en-GB" w:eastAsia="nl-NL"/>
                <w14:textOutline w14:w="0" w14:cap="flat" w14:cmpd="sng" w14:algn="ctr">
                  <w14:noFill/>
                  <w14:prstDash w14:val="solid"/>
                  <w14:bevel/>
                </w14:textOutline>
              </w:rPr>
              <w:t xml:space="preserve">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1850B" w14:textId="77777777" w:rsidR="005F0506" w:rsidRPr="009A27B8" w:rsidRDefault="005F0506" w:rsidP="005F0506">
            <w:pPr>
              <w:rPr>
                <w:rFonts w:ascii="Calibri" w:hAnsi="Calibri"/>
                <w:lang w:val="en-GB"/>
              </w:rPr>
            </w:pPr>
          </w:p>
        </w:tc>
      </w:tr>
      <w:tr w:rsidR="005F0506" w:rsidRPr="009A27B8" w14:paraId="7375ECF6" w14:textId="77777777" w:rsidTr="007528A0">
        <w:trPr>
          <w:trHeight w:val="175"/>
          <w:jc w:val="center"/>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1A750"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shd w:val="clear" w:color="auto" w:fill="FFFF00"/>
                <w:lang w:val="en-GB" w:eastAsia="nl-NL"/>
                <w14:textOutline w14:w="0" w14:cap="flat" w14:cmpd="sng" w14:algn="ctr">
                  <w14:noFill/>
                  <w14:prstDash w14:val="solid"/>
                  <w14:bevel/>
                </w14:textOutline>
              </w:rPr>
              <w:t>3 ….</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C8FB0" w14:textId="77777777" w:rsidR="005F0506" w:rsidRPr="009A27B8" w:rsidRDefault="005F0506" w:rsidP="005F0506">
            <w:pPr>
              <w:rPr>
                <w:rFonts w:ascii="Calibri" w:hAnsi="Calibri"/>
                <w:lang w:val="en-GB"/>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134CB" w14:textId="77777777" w:rsidR="005F0506" w:rsidRPr="009A27B8" w:rsidRDefault="005F0506" w:rsidP="005F0506">
            <w:pPr>
              <w:rPr>
                <w:rFonts w:ascii="Calibri" w:hAnsi="Calibri"/>
                <w:lang w:val="en-GB"/>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33246" w14:textId="77777777" w:rsidR="005F0506" w:rsidRPr="009A27B8" w:rsidRDefault="005F0506" w:rsidP="005F0506">
            <w:pPr>
              <w:rPr>
                <w:rFonts w:ascii="Calibri" w:hAnsi="Calibri"/>
                <w:lang w:val="en-GB"/>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CA22B" w14:textId="77777777" w:rsidR="005F0506" w:rsidRPr="009A27B8" w:rsidRDefault="005F0506" w:rsidP="005F0506">
            <w:pPr>
              <w:rPr>
                <w:rFonts w:ascii="Calibri" w:hAnsi="Calibri"/>
                <w:lang w:val="en-GB"/>
              </w:rPr>
            </w:pPr>
          </w:p>
        </w:tc>
      </w:tr>
    </w:tbl>
    <w:p w14:paraId="2CE632F7" w14:textId="44E78A80" w:rsidR="005F0506" w:rsidRPr="009A27B8" w:rsidRDefault="005F0506" w:rsidP="00742665">
      <w:pPr>
        <w:spacing w:before="240" w:line="260" w:lineRule="atLeast"/>
        <w:rPr>
          <w:rFonts w:ascii="Calibri" w:hAnsi="Calibri" w:cs="Arial Unicode MS"/>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 xml:space="preserve">The Sub-processors engaged by the Processor are: </w:t>
      </w:r>
    </w:p>
    <w:tbl>
      <w:tblPr>
        <w:tblStyle w:val="TableNormal"/>
        <w:tblW w:w="918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59"/>
        <w:gridCol w:w="2894"/>
        <w:gridCol w:w="2126"/>
        <w:gridCol w:w="1701"/>
      </w:tblGrid>
      <w:tr w:rsidR="005F0506" w:rsidRPr="009A27B8" w14:paraId="55055A11" w14:textId="77777777" w:rsidTr="005F0506">
        <w:trPr>
          <w:trHeight w:val="695"/>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DEE06"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Sub-processor (name including domicile)</w:t>
            </w: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109CF"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The Personal Data processed by this Sub-processor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23BCB"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Specification of reason for sub-processing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C9C4E"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Country of processing and relevant transfer mechanism</w:t>
            </w:r>
          </w:p>
        </w:tc>
      </w:tr>
      <w:tr w:rsidR="005F0506" w:rsidRPr="009A27B8" w14:paraId="2B270797" w14:textId="77777777" w:rsidTr="005F0506">
        <w:trPr>
          <w:trHeight w:val="226"/>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D1039" w14:textId="77777777" w:rsidR="005F0506" w:rsidRPr="009A27B8" w:rsidRDefault="005F0506" w:rsidP="005F0506">
            <w:pPr>
              <w:rPr>
                <w:rFonts w:ascii="Calibri" w:hAnsi="Calibri"/>
                <w:lang w:val="en-GB"/>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43094" w14:textId="77777777" w:rsidR="005F0506" w:rsidRPr="009A27B8" w:rsidRDefault="005F0506" w:rsidP="005F0506">
            <w:pPr>
              <w:rPr>
                <w:rFonts w:ascii="Calibri" w:hAnsi="Calibri"/>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85762" w14:textId="77777777" w:rsidR="005F0506" w:rsidRPr="009A27B8" w:rsidRDefault="005F0506" w:rsidP="005F0506">
            <w:pPr>
              <w:rPr>
                <w:rFonts w:ascii="Calibri" w:hAnsi="Calibri"/>
                <w:lang w:val="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D3E98" w14:textId="77777777" w:rsidR="005F0506" w:rsidRPr="009A27B8" w:rsidRDefault="005F0506" w:rsidP="005F0506">
            <w:pPr>
              <w:rPr>
                <w:rFonts w:ascii="Calibri" w:hAnsi="Calibri"/>
                <w:lang w:val="en-GB"/>
              </w:rPr>
            </w:pPr>
          </w:p>
        </w:tc>
      </w:tr>
      <w:tr w:rsidR="005F0506" w:rsidRPr="009A27B8" w14:paraId="24B65D30" w14:textId="77777777" w:rsidTr="005F0506">
        <w:trPr>
          <w:trHeight w:val="226"/>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AF271" w14:textId="77777777" w:rsidR="005F0506" w:rsidRPr="009A27B8" w:rsidRDefault="005F0506" w:rsidP="005F0506">
            <w:pPr>
              <w:rPr>
                <w:rFonts w:ascii="Calibri" w:hAnsi="Calibri"/>
                <w:lang w:val="en-GB"/>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39093" w14:textId="77777777" w:rsidR="005F0506" w:rsidRPr="009A27B8" w:rsidRDefault="005F0506" w:rsidP="005F0506">
            <w:pPr>
              <w:rPr>
                <w:rFonts w:ascii="Calibri" w:hAnsi="Calibri"/>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E21BB" w14:textId="77777777" w:rsidR="005F0506" w:rsidRPr="009A27B8" w:rsidRDefault="005F0506" w:rsidP="005F0506">
            <w:pPr>
              <w:rPr>
                <w:rFonts w:ascii="Calibri" w:hAnsi="Calibri"/>
                <w:lang w:val="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0E3F8" w14:textId="77777777" w:rsidR="005F0506" w:rsidRPr="009A27B8" w:rsidRDefault="005F0506" w:rsidP="005F0506">
            <w:pPr>
              <w:rPr>
                <w:rFonts w:ascii="Calibri" w:hAnsi="Calibri"/>
                <w:lang w:val="en-GB"/>
              </w:rPr>
            </w:pPr>
          </w:p>
        </w:tc>
      </w:tr>
      <w:tr w:rsidR="005F0506" w:rsidRPr="009A27B8" w14:paraId="56E1FEB5" w14:textId="77777777" w:rsidTr="005F0506">
        <w:trPr>
          <w:trHeight w:val="226"/>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1C7D8" w14:textId="77777777" w:rsidR="005F0506" w:rsidRPr="009A27B8" w:rsidRDefault="005F0506" w:rsidP="005F0506">
            <w:pPr>
              <w:rPr>
                <w:rFonts w:ascii="Calibri" w:hAnsi="Calibri"/>
                <w:lang w:val="en-GB"/>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C4EEF" w14:textId="77777777" w:rsidR="005F0506" w:rsidRPr="009A27B8" w:rsidRDefault="005F0506" w:rsidP="005F0506">
            <w:pPr>
              <w:rPr>
                <w:rFonts w:ascii="Calibri" w:hAnsi="Calibri"/>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F9C7" w14:textId="77777777" w:rsidR="005F0506" w:rsidRPr="009A27B8" w:rsidRDefault="005F0506" w:rsidP="005F0506">
            <w:pPr>
              <w:rPr>
                <w:rFonts w:ascii="Calibri" w:hAnsi="Calibri"/>
                <w:lang w:val="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6EE54" w14:textId="77777777" w:rsidR="005F0506" w:rsidRPr="009A27B8" w:rsidRDefault="005F0506" w:rsidP="005F0506">
            <w:pPr>
              <w:rPr>
                <w:rFonts w:ascii="Calibri" w:hAnsi="Calibri"/>
                <w:lang w:val="en-GB"/>
              </w:rPr>
            </w:pPr>
          </w:p>
        </w:tc>
      </w:tr>
    </w:tbl>
    <w:p w14:paraId="788D07C9" w14:textId="1491E2A0" w:rsidR="005F0506" w:rsidRPr="009A27B8" w:rsidRDefault="005F0506" w:rsidP="00742665">
      <w:pPr>
        <w:spacing w:before="24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The transfers to third countries for these Processing activities are:</w:t>
      </w:r>
    </w:p>
    <w:tbl>
      <w:tblPr>
        <w:tblStyle w:val="TableNormal"/>
        <w:tblW w:w="917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86"/>
        <w:gridCol w:w="3032"/>
        <w:gridCol w:w="1204"/>
        <w:gridCol w:w="2451"/>
      </w:tblGrid>
      <w:tr w:rsidR="005F0506" w:rsidRPr="009A27B8" w14:paraId="3F410015" w14:textId="77777777" w:rsidTr="005F0506">
        <w:trPr>
          <w:trHeight w:val="695"/>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0A547"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Transfer to third countries (name of party + which third country)</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166FD"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Purpose of transfer (cost savings, economies of scale or security improvements)</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8DBB7"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Transfer instrument</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1D339"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Additional measures for transfer to a third country (if applicable)</w:t>
            </w:r>
          </w:p>
        </w:tc>
      </w:tr>
      <w:tr w:rsidR="005F0506" w:rsidRPr="009A27B8" w14:paraId="511B58E0" w14:textId="77777777" w:rsidTr="005F0506">
        <w:trPr>
          <w:trHeight w:val="269"/>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CFF52" w14:textId="77777777" w:rsidR="005F0506" w:rsidRPr="009A27B8" w:rsidRDefault="005F0506" w:rsidP="005F0506">
            <w:pPr>
              <w:rPr>
                <w:rFonts w:ascii="Calibri" w:hAnsi="Calibri"/>
                <w:lang w:val="en-GB"/>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BB085" w14:textId="77777777" w:rsidR="005F0506" w:rsidRPr="009A27B8" w:rsidRDefault="005F0506" w:rsidP="005F0506">
            <w:pPr>
              <w:rPr>
                <w:rFonts w:ascii="Calibri" w:hAnsi="Calibri"/>
                <w:lang w:val="en-GB"/>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FE64F" w14:textId="77777777" w:rsidR="005F0506" w:rsidRPr="009A27B8" w:rsidRDefault="005F0506" w:rsidP="005F0506">
            <w:pPr>
              <w:rPr>
                <w:rFonts w:ascii="Calibri" w:hAnsi="Calibri"/>
                <w:lang w:val="en-GB"/>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3589D" w14:textId="77777777" w:rsidR="005F0506" w:rsidRPr="009A27B8" w:rsidRDefault="005F0506" w:rsidP="005F0506">
            <w:pPr>
              <w:rPr>
                <w:rFonts w:ascii="Calibri" w:hAnsi="Calibri"/>
                <w:lang w:val="en-GB"/>
              </w:rPr>
            </w:pPr>
          </w:p>
        </w:tc>
      </w:tr>
      <w:tr w:rsidR="005F0506" w:rsidRPr="009A27B8" w14:paraId="5131BC61" w14:textId="77777777" w:rsidTr="005F0506">
        <w:trPr>
          <w:trHeight w:val="175"/>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D5B0D" w14:textId="77777777" w:rsidR="005F0506" w:rsidRPr="009A27B8" w:rsidRDefault="005F0506" w:rsidP="005F0506">
            <w:pPr>
              <w:rPr>
                <w:rFonts w:ascii="Calibri" w:hAnsi="Calibri"/>
                <w:lang w:val="en-GB"/>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AB4BF" w14:textId="77777777" w:rsidR="005F0506" w:rsidRPr="009A27B8" w:rsidRDefault="005F0506" w:rsidP="005F0506">
            <w:pPr>
              <w:rPr>
                <w:rFonts w:ascii="Calibri" w:hAnsi="Calibri"/>
                <w:lang w:val="en-GB"/>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4F7FB" w14:textId="77777777" w:rsidR="005F0506" w:rsidRPr="009A27B8" w:rsidRDefault="005F0506" w:rsidP="005F0506">
            <w:pPr>
              <w:rPr>
                <w:rFonts w:ascii="Calibri" w:hAnsi="Calibri"/>
                <w:lang w:val="en-GB"/>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9FD92" w14:textId="77777777" w:rsidR="005F0506" w:rsidRPr="009A27B8" w:rsidRDefault="005F0506" w:rsidP="005F0506">
            <w:pPr>
              <w:rPr>
                <w:rFonts w:ascii="Calibri" w:hAnsi="Calibri"/>
                <w:lang w:val="en-GB"/>
              </w:rPr>
            </w:pPr>
          </w:p>
        </w:tc>
      </w:tr>
    </w:tbl>
    <w:p w14:paraId="419B97C8" w14:textId="6011590B" w:rsidR="005F0506" w:rsidRPr="009A27B8" w:rsidRDefault="005F0506" w:rsidP="00742665">
      <w:pPr>
        <w:spacing w:before="240" w:line="260" w:lineRule="atLeast"/>
        <w:rPr>
          <w:rFonts w:ascii="Calibri" w:hAnsi="Calibri" w:cs="Arial Unicode MS"/>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Contact details</w:t>
      </w:r>
    </w:p>
    <w:tbl>
      <w:tblPr>
        <w:tblStyle w:val="TableNormal"/>
        <w:tblW w:w="917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02"/>
        <w:gridCol w:w="1134"/>
        <w:gridCol w:w="992"/>
        <w:gridCol w:w="1134"/>
        <w:gridCol w:w="3111"/>
      </w:tblGrid>
      <w:tr w:rsidR="005F0506" w:rsidRPr="009A27B8" w14:paraId="376B34D2" w14:textId="77777777" w:rsidTr="005F0506">
        <w:trPr>
          <w:trHeight w:val="175"/>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AA94E"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General contact details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DBA0D"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Name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75EB5"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Job title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94BBB" w14:textId="74C65E29"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Email address</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AEFB8"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6"/>
                <w:szCs w:val="16"/>
                <w:u w:color="000000"/>
                <w:lang w:val="en-GB" w:eastAsia="nl-NL"/>
                <w14:textOutline w14:w="0" w14:cap="flat" w14:cmpd="sng" w14:algn="ctr">
                  <w14:noFill/>
                  <w14:prstDash w14:val="solid"/>
                  <w14:bevel/>
                </w14:textOutline>
              </w:rPr>
              <w:t>Telephone number</w:t>
            </w:r>
          </w:p>
        </w:tc>
      </w:tr>
      <w:tr w:rsidR="005F0506" w:rsidRPr="009A27B8" w14:paraId="7A7B03FA" w14:textId="77777777" w:rsidTr="005F0506">
        <w:trPr>
          <w:trHeight w:val="485"/>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62100"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lang w:val="en-GB" w:eastAsia="nl-NL"/>
                <w14:textOutline w14:w="0" w14:cap="flat" w14:cmpd="sng" w14:algn="ctr">
                  <w14:noFill/>
                  <w14:prstDash w14:val="solid"/>
                  <w14:bevel/>
                </w14:textOutline>
              </w:rPr>
              <w:t>Controller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CC620" w14:textId="77777777" w:rsidR="005F0506" w:rsidRPr="009A27B8" w:rsidRDefault="005F0506" w:rsidP="005F0506">
            <w:pPr>
              <w:rPr>
                <w:rFonts w:ascii="Calibri" w:hAnsi="Calibri"/>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9C49F" w14:textId="77777777" w:rsidR="005F0506" w:rsidRPr="009A27B8" w:rsidRDefault="005F0506" w:rsidP="005F0506">
            <w:pPr>
              <w:rPr>
                <w:rFonts w:ascii="Calibri" w:hAnsi="Calibri"/>
                <w:lang w:val="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8B923" w14:textId="77777777" w:rsidR="005F0506" w:rsidRPr="009A27B8" w:rsidRDefault="005F0506" w:rsidP="005F0506">
            <w:pPr>
              <w:rPr>
                <w:rFonts w:ascii="Calibri" w:hAnsi="Calibri"/>
                <w:lang w:val="en-GB"/>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36875" w14:textId="77777777" w:rsidR="005F0506" w:rsidRPr="009A27B8" w:rsidRDefault="005F0506" w:rsidP="005F0506">
            <w:pPr>
              <w:rPr>
                <w:rFonts w:ascii="Calibri" w:hAnsi="Calibri"/>
                <w:lang w:val="en-GB"/>
              </w:rPr>
            </w:pPr>
          </w:p>
        </w:tc>
      </w:tr>
      <w:tr w:rsidR="005F0506" w:rsidRPr="009A27B8" w14:paraId="37BB0A7F" w14:textId="77777777" w:rsidTr="005F0506">
        <w:trPr>
          <w:trHeight w:val="305"/>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485DB" w14:textId="77777777" w:rsidR="005F0506" w:rsidRPr="009A27B8" w:rsidRDefault="005F0506" w:rsidP="005F0506">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6"/>
                <w:szCs w:val="16"/>
                <w:u w:color="000000"/>
                <w:lang w:val="en-GB" w:eastAsia="nl-NL"/>
                <w14:textOutline w14:w="0" w14:cap="flat" w14:cmpd="sng" w14:algn="ctr">
                  <w14:noFill/>
                  <w14:prstDash w14:val="solid"/>
                  <w14:bevel/>
                </w14:textOutline>
              </w:rPr>
              <w:t>Processor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FFC19" w14:textId="77777777" w:rsidR="005F0506" w:rsidRPr="009A27B8" w:rsidRDefault="005F0506" w:rsidP="005F0506">
            <w:pPr>
              <w:rPr>
                <w:rFonts w:ascii="Calibri" w:hAnsi="Calibri"/>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7273E" w14:textId="77777777" w:rsidR="005F0506" w:rsidRPr="009A27B8" w:rsidRDefault="005F0506" w:rsidP="005F0506">
            <w:pPr>
              <w:rPr>
                <w:rFonts w:ascii="Calibri" w:hAnsi="Calibri"/>
                <w:lang w:val="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95F65" w14:textId="77777777" w:rsidR="005F0506" w:rsidRPr="009A27B8" w:rsidRDefault="005F0506" w:rsidP="005F0506">
            <w:pPr>
              <w:rPr>
                <w:rFonts w:ascii="Calibri" w:hAnsi="Calibri"/>
                <w:lang w:val="en-GB"/>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D98C9" w14:textId="77777777" w:rsidR="005F0506" w:rsidRPr="009A27B8" w:rsidRDefault="005F0506" w:rsidP="005F0506">
            <w:pPr>
              <w:rPr>
                <w:rFonts w:ascii="Calibri" w:hAnsi="Calibri"/>
                <w:lang w:val="en-GB"/>
              </w:rPr>
            </w:pPr>
          </w:p>
        </w:tc>
      </w:tr>
    </w:tbl>
    <w:p w14:paraId="1D8E7BD0" w14:textId="77777777" w:rsidR="005F0506" w:rsidRPr="009A27B8" w:rsidRDefault="005F0506" w:rsidP="005F0506">
      <w:pPr>
        <w:widowControl w:val="0"/>
        <w:spacing w:after="260"/>
        <w:rPr>
          <w:rFonts w:ascii="Calibri" w:eastAsia="Calibri" w:hAnsi="Calibri" w:cs="Calibri"/>
          <w:color w:val="000000"/>
          <w:szCs w:val="20"/>
          <w:u w:color="000000"/>
          <w:lang w:val="en-GB" w:eastAsia="nl-NL"/>
          <w14:textOutline w14:w="0" w14:cap="flat" w14:cmpd="sng" w14:algn="ctr">
            <w14:noFill/>
            <w14:prstDash w14:val="solid"/>
            <w14:bevel/>
          </w14:textOutline>
        </w:rPr>
      </w:pPr>
    </w:p>
    <w:p w14:paraId="0BE2BB46" w14:textId="62D0D56F" w:rsidR="00742665" w:rsidRPr="009A27B8" w:rsidRDefault="005F0506" w:rsidP="007528A0">
      <w:pPr>
        <w:spacing w:after="260" w:line="260" w:lineRule="atLeast"/>
        <w:rPr>
          <w:rFonts w:ascii="Calibri" w:hAnsi="Calibri" w:cs="Arial Unicode MS"/>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Date appendix: [</w:t>
      </w:r>
      <w:r w:rsidRPr="009A27B8">
        <w:rPr>
          <w:rFonts w:ascii="Calibri" w:hAnsi="Calibri" w:cs="Arial Unicode MS"/>
          <w:color w:val="000000"/>
          <w:szCs w:val="20"/>
          <w:u w:color="000000"/>
          <w:shd w:val="clear" w:color="auto" w:fill="FFFF00"/>
          <w:lang w:val="en-GB" w:eastAsia="nl-NL"/>
          <w14:textOutline w14:w="0" w14:cap="flat" w14:cmpd="sng" w14:algn="ctr">
            <w14:noFill/>
            <w14:prstDash w14:val="solid"/>
            <w14:bevel/>
          </w14:textOutline>
        </w:rPr>
        <w:t>DATE</w:t>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w:t>
      </w:r>
    </w:p>
    <w:p w14:paraId="0098E449" w14:textId="77777777" w:rsidR="00742665" w:rsidRPr="009A27B8" w:rsidRDefault="0074266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Calibri" w:hAnsi="Calibri" w:cs="Arial Unicode MS"/>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br w:type="page"/>
      </w:r>
    </w:p>
    <w:p w14:paraId="4CC5FEE8" w14:textId="49860851" w:rsidR="00B17034" w:rsidRPr="009A27B8" w:rsidRDefault="00143E16" w:rsidP="00A414D9">
      <w:pPr>
        <w:pStyle w:val="Kop1zondernummerSURF"/>
        <w:jc w:val="center"/>
        <w:rPr>
          <w:b w:val="0"/>
          <w:bCs w:val="0"/>
          <w:u w:color="000000"/>
          <w:lang w:val="en-GB"/>
        </w:rPr>
      </w:pPr>
      <w:r w:rsidRPr="009A27B8">
        <w:rPr>
          <w:u w:val="single"/>
          <w:lang w:val="en-GB"/>
        </w:rPr>
        <w:lastRenderedPageBreak/>
        <w:t>Annex B:</w:t>
      </w:r>
      <w:r w:rsidRPr="009A27B8">
        <w:rPr>
          <w:u w:color="000000"/>
          <w:lang w:val="en-GB"/>
        </w:rPr>
        <w:t xml:space="preserve"> Security measures</w:t>
      </w:r>
    </w:p>
    <w:p w14:paraId="2B7B59F9" w14:textId="77777777" w:rsidR="00CB7E33" w:rsidRPr="009A27B8" w:rsidRDefault="00CB7E33" w:rsidP="00CB7E33">
      <w:pPr>
        <w:pStyle w:val="BasistekstSURF"/>
        <w:rPr>
          <w:rFonts w:eastAsia="Calibri"/>
          <w:lang w:val="en-GB"/>
        </w:rPr>
      </w:pPr>
    </w:p>
    <w:p w14:paraId="73E2D73D" w14:textId="77777777" w:rsidR="00D46372" w:rsidRPr="009A27B8" w:rsidRDefault="00D46372" w:rsidP="00D46372">
      <w:pPr>
        <w:spacing w:after="260" w:line="260" w:lineRule="atLeast"/>
        <w:rPr>
          <w:rFonts w:ascii="Calibri" w:eastAsia="Calibri" w:hAnsi="Calibri" w:cs="Calibri"/>
          <w:b/>
          <w:bCs/>
          <w:i/>
          <w:iCs/>
          <w:color w:val="FF0000"/>
          <w:szCs w:val="20"/>
          <w:u w:color="FF0000"/>
          <w:lang w:val="en-GB" w:eastAsia="nl-NL"/>
          <w14:textOutline w14:w="0" w14:cap="flat" w14:cmpd="sng" w14:algn="ctr">
            <w14:noFill/>
            <w14:prstDash w14:val="solid"/>
            <w14:bevel/>
          </w14:textOutline>
        </w:rPr>
      </w:pPr>
      <w:r w:rsidRPr="009A27B8">
        <w:rPr>
          <w:rFonts w:ascii="Calibri" w:hAnsi="Calibri" w:cs="Arial Unicode MS"/>
          <w:b/>
          <w:bCs/>
          <w:i/>
          <w:iCs/>
          <w:color w:val="FF0000"/>
          <w:szCs w:val="20"/>
          <w:u w:color="FF0000"/>
          <w:lang w:val="en-GB" w:eastAsia="nl-NL"/>
          <w14:textOutline w14:w="0" w14:cap="flat" w14:cmpd="sng" w14:algn="ctr">
            <w14:noFill/>
            <w14:prstDash w14:val="solid"/>
            <w14:bevel/>
          </w14:textOutline>
        </w:rPr>
        <w:t>ONE OF THE FOLLOWING TWO OPTIONS MUST BE SELECTED</w:t>
      </w:r>
    </w:p>
    <w:p w14:paraId="60683CF7" w14:textId="77777777" w:rsidR="00D46372" w:rsidRPr="009A27B8" w:rsidRDefault="00D46372" w:rsidP="00D46372">
      <w:pPr>
        <w:spacing w:after="260" w:line="260" w:lineRule="atLeast"/>
        <w:rPr>
          <w:rFonts w:ascii="Calibri" w:eastAsia="Calibri" w:hAnsi="Calibri" w:cs="Calibri"/>
          <w:b/>
          <w:bCs/>
          <w:color w:val="FF0000"/>
          <w:sz w:val="18"/>
          <w:szCs w:val="18"/>
          <w:u w:color="FF0000"/>
          <w:lang w:val="en-GB" w:eastAsia="nl-NL"/>
          <w14:textOutline w14:w="0" w14:cap="flat" w14:cmpd="sng" w14:algn="ctr">
            <w14:noFill/>
            <w14:prstDash w14:val="solid"/>
            <w14:bevel/>
          </w14:textOutline>
        </w:rPr>
      </w:pPr>
      <w:r w:rsidRPr="009A27B8">
        <w:rPr>
          <w:rFonts w:ascii="Calibri" w:hAnsi="Calibri" w:cs="Arial Unicode MS"/>
          <w:b/>
          <w:bCs/>
          <w:color w:val="FF0000"/>
          <w:szCs w:val="20"/>
          <w:u w:val="double" w:color="FF0000"/>
          <w:lang w:val="en-GB" w:eastAsia="nl-NL"/>
          <w14:textOutline w14:w="0" w14:cap="flat" w14:cmpd="sng" w14:algn="ctr">
            <w14:noFill/>
            <w14:prstDash w14:val="solid"/>
            <w14:bevel/>
          </w14:textOutline>
        </w:rPr>
        <w:t>OPTION 1</w:t>
      </w:r>
      <w:r w:rsidRPr="009A27B8">
        <w:rPr>
          <w:rFonts w:ascii="Calibri" w:hAnsi="Calibri" w:cs="Arial Unicode MS"/>
          <w:b/>
          <w:bCs/>
          <w:color w:val="FF0000"/>
          <w:sz w:val="18"/>
          <w:szCs w:val="18"/>
          <w:u w:color="FF0000"/>
          <w:lang w:val="en-GB" w:eastAsia="nl-NL"/>
          <w14:textOutline w14:w="0" w14:cap="flat" w14:cmpd="sng" w14:algn="ctr">
            <w14:noFill/>
            <w14:prstDash w14:val="solid"/>
            <w14:bevel/>
          </w14:textOutline>
        </w:rPr>
        <w:t>: If the Processor has adequate certificates</w:t>
      </w:r>
    </w:p>
    <w:p w14:paraId="19F7A8AC" w14:textId="77777777" w:rsidR="00D46372" w:rsidRPr="009A27B8" w:rsidRDefault="00D46372" w:rsidP="00D46372">
      <w:pPr>
        <w:spacing w:after="260" w:line="260" w:lineRule="atLeast"/>
        <w:rPr>
          <w:rFonts w:ascii="Calibri" w:eastAsia="Calibri" w:hAnsi="Calibri" w:cs="Calibri"/>
          <w:color w:val="000000"/>
          <w:sz w:val="18"/>
          <w:szCs w:val="18"/>
          <w:u w:color="000000"/>
          <w:lang w:val="en-GB" w:eastAsia="nl-NL"/>
          <w14:textOutline w14:w="0" w14:cap="flat" w14:cmpd="sng" w14:algn="ctr">
            <w14:noFill/>
            <w14:prstDash w14:val="solid"/>
            <w14:bevel/>
          </w14:textOutline>
        </w:rPr>
      </w:pPr>
      <w:r w:rsidRPr="009A27B8">
        <w:rPr>
          <w:rFonts w:ascii="Calibri" w:hAnsi="Calibri" w:cs="Arial Unicode MS"/>
          <w:color w:val="000000"/>
          <w:sz w:val="18"/>
          <w:szCs w:val="18"/>
          <w:u w:color="000000"/>
          <w:lang w:val="en-GB" w:eastAsia="nl-NL"/>
          <w14:textOutline w14:w="0" w14:cap="flat" w14:cmpd="sng" w14:algn="ctr">
            <w14:noFill/>
            <w14:prstDash w14:val="solid"/>
            <w14:bevel/>
          </w14:textOutline>
        </w:rPr>
        <w:t>The Processor holds the following valid certificates or statements from an independent third party demonstrating that the Processor complies with its obligation to adequately secure the Personal Data it processes on behalf of the Controller:</w:t>
      </w:r>
    </w:p>
    <w:tbl>
      <w:tblPr>
        <w:tblStyle w:val="TableNormal"/>
        <w:tblW w:w="78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3827"/>
        <w:gridCol w:w="2205"/>
      </w:tblGrid>
      <w:tr w:rsidR="00D46372" w:rsidRPr="009A27B8" w14:paraId="54756477" w14:textId="77777777" w:rsidTr="003A3743">
        <w:trPr>
          <w:trHeight w:val="19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E9943"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8"/>
                <w:szCs w:val="18"/>
                <w:u w:color="000000"/>
                <w:lang w:val="en-GB" w:eastAsia="nl-NL"/>
                <w14:textOutline w14:w="0" w14:cap="flat" w14:cmpd="sng" w14:algn="ctr">
                  <w14:noFill/>
                  <w14:prstDash w14:val="solid"/>
                  <w14:bevel/>
                </w14:textOutline>
              </w:rPr>
              <w:t xml:space="preserve">Name or number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A83D2"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8"/>
                <w:szCs w:val="18"/>
                <w:u w:color="000000"/>
                <w:lang w:val="en-GB" w:eastAsia="nl-NL"/>
                <w14:textOutline w14:w="0" w14:cap="flat" w14:cmpd="sng" w14:algn="ctr">
                  <w14:noFill/>
                  <w14:prstDash w14:val="solid"/>
                  <w14:bevel/>
                </w14:textOutline>
              </w:rPr>
              <w:t>Scope of application</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FD905"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8"/>
                <w:szCs w:val="18"/>
                <w:u w:color="000000"/>
                <w:lang w:val="en-GB" w:eastAsia="nl-NL"/>
                <w14:textOutline w14:w="0" w14:cap="flat" w14:cmpd="sng" w14:algn="ctr">
                  <w14:noFill/>
                  <w14:prstDash w14:val="solid"/>
                  <w14:bevel/>
                </w14:textOutline>
              </w:rPr>
              <w:t xml:space="preserve">Period of validity </w:t>
            </w:r>
          </w:p>
        </w:tc>
      </w:tr>
      <w:tr w:rsidR="00D46372" w:rsidRPr="009A27B8" w14:paraId="3746D3AC" w14:textId="77777777" w:rsidTr="003A3743">
        <w:trPr>
          <w:trHeight w:val="71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C064B"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For example, ISO 27001, NEN 7510, SOC 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A35A7" w14:textId="77777777" w:rsidR="00D46372" w:rsidRPr="009A27B8" w:rsidRDefault="00D46372" w:rsidP="00D46372">
            <w:pPr>
              <w:rPr>
                <w:rFonts w:ascii="Calibri" w:hAnsi="Calibri"/>
                <w:lang w:val="en-GB"/>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9094F" w14:textId="77777777" w:rsidR="00D46372" w:rsidRPr="009A27B8" w:rsidRDefault="00D46372" w:rsidP="00D46372">
            <w:pPr>
              <w:rPr>
                <w:rFonts w:ascii="Calibri" w:hAnsi="Calibri"/>
                <w:lang w:val="en-GB"/>
              </w:rPr>
            </w:pPr>
          </w:p>
        </w:tc>
      </w:tr>
      <w:tr w:rsidR="00D46372" w:rsidRPr="009A27B8" w14:paraId="00510794" w14:textId="77777777" w:rsidTr="003A3743">
        <w:trPr>
          <w:trHeight w:val="19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33B43" w14:textId="77777777" w:rsidR="00D46372" w:rsidRPr="009A27B8" w:rsidRDefault="00D46372" w:rsidP="00D46372">
            <w:pPr>
              <w:rPr>
                <w:rFonts w:ascii="Calibri" w:hAnsi="Calibri"/>
                <w:lang w:val="en-GB"/>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541A5" w14:textId="77777777" w:rsidR="00D46372" w:rsidRPr="009A27B8" w:rsidRDefault="00D46372" w:rsidP="00D46372">
            <w:pPr>
              <w:rPr>
                <w:rFonts w:ascii="Calibri" w:hAnsi="Calibri"/>
                <w:lang w:val="en-GB"/>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43BA5" w14:textId="77777777" w:rsidR="00D46372" w:rsidRPr="009A27B8" w:rsidRDefault="00D46372" w:rsidP="00D46372">
            <w:pPr>
              <w:rPr>
                <w:rFonts w:ascii="Calibri" w:hAnsi="Calibri"/>
                <w:lang w:val="en-GB"/>
              </w:rPr>
            </w:pPr>
          </w:p>
        </w:tc>
      </w:tr>
    </w:tbl>
    <w:p w14:paraId="3F9C7C0D" w14:textId="77777777" w:rsidR="00D46372" w:rsidRPr="009A27B8" w:rsidRDefault="00D46372" w:rsidP="00D46372">
      <w:pPr>
        <w:widowControl w:val="0"/>
        <w:spacing w:after="260"/>
        <w:rPr>
          <w:rFonts w:ascii="Calibri" w:eastAsia="Calibri" w:hAnsi="Calibri" w:cs="Calibri"/>
          <w:color w:val="000000"/>
          <w:sz w:val="18"/>
          <w:szCs w:val="18"/>
          <w:u w:color="000000"/>
          <w:lang w:val="en-GB" w:eastAsia="nl-NL"/>
          <w14:textOutline w14:w="0" w14:cap="flat" w14:cmpd="sng" w14:algn="ctr">
            <w14:noFill/>
            <w14:prstDash w14:val="solid"/>
            <w14:bevel/>
          </w14:textOutline>
        </w:rPr>
      </w:pPr>
    </w:p>
    <w:p w14:paraId="0819EFBC" w14:textId="5E2FFA26" w:rsidR="00B40BF5" w:rsidRPr="009A27B8" w:rsidRDefault="00D46372" w:rsidP="00D46372">
      <w:pPr>
        <w:spacing w:after="260" w:line="260" w:lineRule="atLeast"/>
        <w:rPr>
          <w:rFonts w:ascii="Calibri" w:hAnsi="Calibri" w:cs="Arial Unicode MS"/>
          <w:color w:val="000000"/>
          <w:sz w:val="18"/>
          <w:szCs w:val="18"/>
          <w:u w:color="000000"/>
          <w:lang w:val="en-GB" w:eastAsia="nl-NL"/>
          <w14:textOutline w14:w="0" w14:cap="flat" w14:cmpd="sng" w14:algn="ctr">
            <w14:noFill/>
            <w14:prstDash w14:val="solid"/>
            <w14:bevel/>
          </w14:textOutline>
        </w:rPr>
      </w:pPr>
      <w:r w:rsidRPr="009A27B8">
        <w:rPr>
          <w:rFonts w:ascii="Calibri" w:hAnsi="Calibri" w:cs="Arial Unicode MS"/>
          <w:color w:val="000000"/>
          <w:sz w:val="18"/>
          <w:szCs w:val="18"/>
          <w:u w:color="000000"/>
          <w:lang w:val="en-GB" w:eastAsia="nl-NL"/>
          <w14:textOutline w14:w="0" w14:cap="flat" w14:cmpd="sng" w14:algn="ctr">
            <w14:noFill/>
            <w14:prstDash w14:val="solid"/>
            <w14:bevel/>
          </w14:textOutline>
        </w:rPr>
        <w:t xml:space="preserve">The Processor shall ensure that throughout the term of this Data Processing Agreement it </w:t>
      </w:r>
      <w:r w:rsidR="0024430D" w:rsidRPr="009A27B8">
        <w:rPr>
          <w:rFonts w:ascii="Calibri" w:hAnsi="Calibri" w:cs="Arial Unicode MS"/>
          <w:color w:val="000000"/>
          <w:sz w:val="18"/>
          <w:szCs w:val="18"/>
          <w:u w:color="000000"/>
          <w:lang w:val="en-GB" w:eastAsia="nl-NL"/>
          <w14:textOutline w14:w="0" w14:cap="flat" w14:cmpd="sng" w14:algn="ctr">
            <w14:noFill/>
            <w14:prstDash w14:val="solid"/>
            <w14:bevel/>
          </w14:textOutline>
        </w:rPr>
        <w:t>continues to</w:t>
      </w:r>
      <w:r w:rsidRPr="009A27B8">
        <w:rPr>
          <w:rFonts w:ascii="Calibri" w:hAnsi="Calibri" w:cs="Arial Unicode MS"/>
          <w:color w:val="000000"/>
          <w:sz w:val="18"/>
          <w:szCs w:val="18"/>
          <w:u w:color="000000"/>
          <w:lang w:val="en-GB" w:eastAsia="nl-NL"/>
          <w14:textOutline w14:w="0" w14:cap="flat" w14:cmpd="sng" w14:algn="ctr">
            <w14:noFill/>
            <w14:prstDash w14:val="solid"/>
            <w14:bevel/>
          </w14:textOutline>
        </w:rPr>
        <w:t xml:space="preserve"> hold the aforementioned certificates or an equivalent successor thereof with a renewed validity period</w:t>
      </w:r>
      <w:r w:rsidR="00B40BF5" w:rsidRPr="009A27B8">
        <w:rPr>
          <w:rFonts w:ascii="Calibri" w:hAnsi="Calibri" w:cs="Arial Unicode MS"/>
          <w:color w:val="000000"/>
          <w:sz w:val="18"/>
          <w:szCs w:val="18"/>
          <w:u w:color="000000"/>
          <w:lang w:val="en-GB" w:eastAsia="nl-NL"/>
          <w14:textOutline w14:w="0" w14:cap="flat" w14:cmpd="sng" w14:algn="ctr">
            <w14:noFill/>
            <w14:prstDash w14:val="solid"/>
            <w14:bevel/>
          </w14:textOutline>
        </w:rPr>
        <w:t>.</w:t>
      </w:r>
    </w:p>
    <w:p w14:paraId="21F3CAC4" w14:textId="660EBD30" w:rsidR="00D46372" w:rsidRPr="009A27B8" w:rsidRDefault="00D46372" w:rsidP="00D46372">
      <w:pPr>
        <w:spacing w:after="260" w:line="260" w:lineRule="atLeast"/>
        <w:rPr>
          <w:rFonts w:ascii="Calibri" w:eastAsia="Calibri" w:hAnsi="Calibri" w:cs="Calibri"/>
          <w:color w:val="FF0000"/>
          <w:sz w:val="18"/>
          <w:szCs w:val="18"/>
          <w:u w:color="FF0000"/>
          <w:lang w:val="en-GB" w:eastAsia="nl-NL"/>
          <w14:textOutline w14:w="0" w14:cap="flat" w14:cmpd="sng" w14:algn="ctr">
            <w14:noFill/>
            <w14:prstDash w14:val="solid"/>
            <w14:bevel/>
          </w14:textOutline>
        </w:rPr>
      </w:pPr>
      <w:r w:rsidRPr="009A27B8">
        <w:rPr>
          <w:rFonts w:ascii="Calibri" w:hAnsi="Calibri" w:cs="Arial Unicode MS"/>
          <w:b/>
          <w:bCs/>
          <w:color w:val="FF0000"/>
          <w:szCs w:val="20"/>
          <w:u w:val="double" w:color="FF0000"/>
          <w:lang w:val="en-GB" w:eastAsia="nl-NL"/>
          <w14:textOutline w14:w="0" w14:cap="flat" w14:cmpd="sng" w14:algn="ctr">
            <w14:noFill/>
            <w14:prstDash w14:val="solid"/>
            <w14:bevel/>
          </w14:textOutline>
        </w:rPr>
        <w:t>OPTION 2</w:t>
      </w:r>
      <w:r w:rsidRPr="009A27B8">
        <w:rPr>
          <w:rFonts w:ascii="Calibri" w:hAnsi="Calibri" w:cs="Arial Unicode MS"/>
          <w:b/>
          <w:bCs/>
          <w:color w:val="FF0000"/>
          <w:sz w:val="18"/>
          <w:szCs w:val="18"/>
          <w:u w:color="FF0000"/>
          <w:lang w:val="en-GB" w:eastAsia="nl-NL"/>
          <w14:textOutline w14:w="0" w14:cap="flat" w14:cmpd="sng" w14:algn="ctr">
            <w14:noFill/>
            <w14:prstDash w14:val="solid"/>
            <w14:bevel/>
          </w14:textOutline>
        </w:rPr>
        <w:t>: If the Processor does not have adequate certificates</w:t>
      </w:r>
    </w:p>
    <w:p w14:paraId="20B68D2F" w14:textId="77777777" w:rsidR="00D46372" w:rsidRPr="009A27B8" w:rsidRDefault="00D46372" w:rsidP="00D46372">
      <w:pPr>
        <w:spacing w:after="260" w:line="260" w:lineRule="atLeast"/>
        <w:rPr>
          <w:rFonts w:ascii="Calibri" w:eastAsia="Calibri" w:hAnsi="Calibri" w:cs="Calibri"/>
          <w:color w:val="000000"/>
          <w:sz w:val="18"/>
          <w:szCs w:val="18"/>
          <w:u w:color="000000"/>
          <w:lang w:val="en-GB" w:eastAsia="nl-NL"/>
          <w14:textOutline w14:w="0" w14:cap="flat" w14:cmpd="sng" w14:algn="ctr">
            <w14:noFill/>
            <w14:prstDash w14:val="solid"/>
            <w14:bevel/>
          </w14:textOutline>
        </w:rPr>
      </w:pPr>
      <w:r w:rsidRPr="009A27B8">
        <w:rPr>
          <w:rFonts w:ascii="Calibri" w:hAnsi="Calibri" w:cs="Arial Unicode MS"/>
          <w:color w:val="000000"/>
          <w:sz w:val="18"/>
          <w:szCs w:val="18"/>
          <w:u w:color="000000"/>
          <w:lang w:val="en-GB" w:eastAsia="nl-NL"/>
          <w14:textOutline w14:w="0" w14:cap="flat" w14:cmpd="sng" w14:algn="ctr">
            <w14:noFill/>
            <w14:prstDash w14:val="solid"/>
            <w14:bevel/>
          </w14:textOutline>
        </w:rPr>
        <w:t xml:space="preserve">In the table below, the Processor lists the security measures implemented by the Processor to adequately protect the Personal Data that it processes on behalf of the Controller. </w:t>
      </w:r>
    </w:p>
    <w:p w14:paraId="1652FE99" w14:textId="5E7CB5A0" w:rsidR="00D46372" w:rsidRPr="009A27B8" w:rsidRDefault="00D46372" w:rsidP="00D46372">
      <w:pPr>
        <w:spacing w:after="260" w:line="260" w:lineRule="atLeast"/>
        <w:rPr>
          <w:rFonts w:ascii="Calibri" w:eastAsia="Calibri" w:hAnsi="Calibri" w:cs="Calibri"/>
          <w:color w:val="000000"/>
          <w:sz w:val="18"/>
          <w:szCs w:val="18"/>
          <w:u w:color="000000"/>
          <w:lang w:val="en-GB" w:eastAsia="nl-NL"/>
          <w14:textOutline w14:w="0" w14:cap="flat" w14:cmpd="sng" w14:algn="ctr">
            <w14:noFill/>
            <w14:prstDash w14:val="solid"/>
            <w14:bevel/>
          </w14:textOutline>
        </w:rPr>
      </w:pPr>
      <w:r w:rsidRPr="009A27B8">
        <w:rPr>
          <w:rFonts w:ascii="Calibri" w:hAnsi="Calibri" w:cs="Arial Unicode MS"/>
          <w:color w:val="000000"/>
          <w:sz w:val="18"/>
          <w:szCs w:val="18"/>
          <w:u w:color="000000"/>
          <w:lang w:val="en-GB" w:eastAsia="nl-NL"/>
          <w14:textOutline w14:w="0" w14:cap="flat" w14:cmpd="sng" w14:algn="ctr">
            <w14:noFill/>
            <w14:prstDash w14:val="solid"/>
            <w14:bevel/>
          </w14:textOutline>
        </w:rPr>
        <w:t>Where the Processor has not fully implemented a specific measure, this is indicated in the column ‘Explanatory notes’.</w:t>
      </w:r>
    </w:p>
    <w:tbl>
      <w:tblPr>
        <w:tblStyle w:val="TableNormal"/>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68"/>
        <w:gridCol w:w="1699"/>
        <w:gridCol w:w="4674"/>
        <w:gridCol w:w="2123"/>
      </w:tblGrid>
      <w:tr w:rsidR="00D46372" w:rsidRPr="009A27B8" w14:paraId="1A593FD3" w14:textId="77777777" w:rsidTr="003A3743">
        <w:trPr>
          <w:trHeight w:val="229"/>
          <w:tblHeader/>
        </w:trPr>
        <w:tc>
          <w:tcPr>
            <w:tcW w:w="567" w:type="dxa"/>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tcPr>
          <w:p w14:paraId="08FDE1BE"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8"/>
                <w:szCs w:val="18"/>
                <w:u w:color="000000"/>
                <w:lang w:val="en-GB" w:eastAsia="nl-NL"/>
                <w14:textOutline w14:w="0" w14:cap="flat" w14:cmpd="sng" w14:algn="ctr">
                  <w14:noFill/>
                  <w14:prstDash w14:val="solid"/>
                  <w14:bevel/>
                </w14:textOutline>
              </w:rPr>
              <w:t>#</w:t>
            </w:r>
          </w:p>
        </w:tc>
        <w:tc>
          <w:tcPr>
            <w:tcW w:w="1699" w:type="dxa"/>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tcPr>
          <w:p w14:paraId="0EC9E54E"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8"/>
                <w:szCs w:val="18"/>
                <w:u w:color="000000"/>
                <w:lang w:val="en-GB" w:eastAsia="nl-NL"/>
                <w14:textOutline w14:w="0" w14:cap="flat" w14:cmpd="sng" w14:algn="ctr">
                  <w14:noFill/>
                  <w14:prstDash w14:val="solid"/>
                  <w14:bevel/>
                </w14:textOutline>
              </w:rPr>
              <w:t>Subject</w:t>
            </w:r>
          </w:p>
        </w:tc>
        <w:tc>
          <w:tcPr>
            <w:tcW w:w="4673" w:type="dxa"/>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tcPr>
          <w:p w14:paraId="726EAC69"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8"/>
                <w:szCs w:val="18"/>
                <w:u w:color="000000"/>
                <w:lang w:val="en-GB" w:eastAsia="nl-NL"/>
                <w14:textOutline w14:w="0" w14:cap="flat" w14:cmpd="sng" w14:algn="ctr">
                  <w14:noFill/>
                  <w14:prstDash w14:val="solid"/>
                  <w14:bevel/>
                </w14:textOutline>
              </w:rPr>
              <w:t>Measure</w:t>
            </w:r>
          </w:p>
        </w:tc>
        <w:tc>
          <w:tcPr>
            <w:tcW w:w="2123" w:type="dxa"/>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tcPr>
          <w:p w14:paraId="1AD93880"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 w:val="18"/>
                <w:szCs w:val="18"/>
                <w:u w:color="000000"/>
                <w:lang w:val="en-GB" w:eastAsia="nl-NL"/>
                <w14:textOutline w14:w="0" w14:cap="flat" w14:cmpd="sng" w14:algn="ctr">
                  <w14:noFill/>
                  <w14:prstDash w14:val="solid"/>
                  <w14:bevel/>
                </w14:textOutline>
              </w:rPr>
              <w:t>Explanatory notes</w:t>
            </w:r>
          </w:p>
        </w:tc>
      </w:tr>
      <w:tr w:rsidR="00D46372" w:rsidRPr="009A27B8" w14:paraId="1825ADEA" w14:textId="77777777" w:rsidTr="003A3743">
        <w:tblPrEx>
          <w:shd w:val="clear" w:color="auto" w:fill="CED7E7"/>
        </w:tblPrEx>
        <w:trPr>
          <w:trHeight w:val="305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F23367"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1</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AAE7A3"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Information security and privacy policy</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851D60"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The Processor has an information security and privacy policy in place that complies with the GDPR and any other guidelines of the Dutch Data Protection Authority and that aligns with general standards such as ISO 27001/2/18, NOREA of CoBIT. The Processor has communicated this policy internally and implemented it through documented procedures.</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C4B874" w14:textId="77777777" w:rsidR="00D46372" w:rsidRPr="009A27B8" w:rsidRDefault="00D46372" w:rsidP="00D46372">
            <w:pPr>
              <w:spacing w:after="260" w:line="260" w:lineRule="atLeast"/>
              <w:rPr>
                <w:rFonts w:ascii="Calibri" w:eastAsia="Calibri" w:hAnsi="Calibri" w:cs="Calibri"/>
                <w:color w:val="000000"/>
                <w:sz w:val="18"/>
                <w:szCs w:val="18"/>
                <w:u w:color="000000"/>
                <w:shd w:val="clear" w:color="auto" w:fill="FFFF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shd w:val="clear" w:color="auto" w:fill="FFFF00"/>
                <w:lang w:val="en-GB" w:eastAsia="nl-NL"/>
                <w14:textOutline w14:w="0" w14:cap="flat" w14:cmpd="sng" w14:algn="ctr">
                  <w14:noFill/>
                  <w14:prstDash w14:val="solid"/>
                  <w14:bevel/>
                </w14:textOutline>
              </w:rPr>
              <w:t>The Processor may also refer in this table to the specific location in a document showing that and how a measure was implemented (such as a section or paragraph in an internal policy document).</w:t>
            </w:r>
          </w:p>
          <w:p w14:paraId="27E5060B"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p>
        </w:tc>
      </w:tr>
      <w:tr w:rsidR="00D46372" w:rsidRPr="009A27B8" w14:paraId="065102AF" w14:textId="77777777" w:rsidTr="003A3743">
        <w:tblPrEx>
          <w:shd w:val="clear" w:color="auto" w:fill="CED7E7"/>
        </w:tblPrEx>
        <w:trPr>
          <w:trHeight w:val="97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8D9C48"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2</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B171C9"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Encrypted storage and transfer of data</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672123"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The Processor applies up-to-date and generally accepted secure encryption methods to data for storage (‘at rest’) and transfer (‘in transit’) to minimize the risk of unauthorized individuals accessing the contents of the data.</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6EEB98" w14:textId="77777777" w:rsidR="00D46372" w:rsidRPr="009A27B8" w:rsidRDefault="00D46372" w:rsidP="00D46372">
            <w:pPr>
              <w:rPr>
                <w:rFonts w:ascii="Calibri" w:hAnsi="Calibri"/>
                <w:lang w:val="en-GB"/>
              </w:rPr>
            </w:pPr>
          </w:p>
        </w:tc>
      </w:tr>
      <w:tr w:rsidR="00D46372" w:rsidRPr="009A27B8" w14:paraId="719143B1" w14:textId="77777777" w:rsidTr="003A3743">
        <w:tblPrEx>
          <w:shd w:val="clear" w:color="auto" w:fill="CED7E7"/>
        </w:tblPrEx>
        <w:trPr>
          <w:trHeight w:val="175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E0AC98"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lastRenderedPageBreak/>
              <w:t>3</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4A25D4"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Access management </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99EAFD"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The Processor applies the principles of ‘least privilege’ and ‘need-to-know’ to its employees and authorized Sub-processors. The Processor shall promptly revoke or modify user access in case of any change to the status of its or the Sub-processors’ employees. The Processor uses up-to-date and widely recognized secure encryption methods for identification, authentication and authorization. </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D8D5DD" w14:textId="77777777" w:rsidR="00D46372" w:rsidRPr="009A27B8" w:rsidRDefault="00D46372" w:rsidP="00D46372">
            <w:pPr>
              <w:rPr>
                <w:rFonts w:ascii="Calibri" w:hAnsi="Calibri"/>
                <w:lang w:val="en-GB"/>
              </w:rPr>
            </w:pPr>
          </w:p>
        </w:tc>
      </w:tr>
      <w:tr w:rsidR="00D46372" w:rsidRPr="009A27B8" w14:paraId="7E26A246" w14:textId="77777777" w:rsidTr="003A3743">
        <w:tblPrEx>
          <w:shd w:val="clear" w:color="auto" w:fill="CED7E7"/>
        </w:tblPrEx>
        <w:trPr>
          <w:trHeight w:val="131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DED748"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4</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F5DA45"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Staff</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C35F4F"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The Processor informs its staff about their responsibilities regarding information security and ensures that its employees comply with their obligations.</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2C362A" w14:textId="77777777" w:rsidR="00D46372" w:rsidRPr="009A27B8" w:rsidRDefault="00D46372" w:rsidP="00D46372">
            <w:pPr>
              <w:rPr>
                <w:rFonts w:ascii="Calibri" w:hAnsi="Calibri"/>
                <w:lang w:val="en-GB"/>
              </w:rPr>
            </w:pPr>
          </w:p>
        </w:tc>
      </w:tr>
      <w:tr w:rsidR="00D46372" w:rsidRPr="009A27B8" w14:paraId="338C7621" w14:textId="77777777" w:rsidTr="003A3743">
        <w:tblPrEx>
          <w:shd w:val="clear" w:color="auto" w:fill="CED7E7"/>
        </w:tblPrEx>
        <w:trPr>
          <w:trHeight w:val="175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2C6066"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5</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7B0464"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Contract management Sub-processors</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645A46"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The Processor shall enter into a written agreement with each authorized Sub-processor, contractually obliging the Sub-processor to comply with the same obligations regarding the Processing as those to which the Processor is bound under this Data Processing Agreement. The Processor shall closely monitor the Sub-processors’ compliance with their obligations.</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E8297D" w14:textId="77777777" w:rsidR="00D46372" w:rsidRPr="009A27B8" w:rsidRDefault="00D46372" w:rsidP="00D46372">
            <w:pPr>
              <w:rPr>
                <w:rFonts w:ascii="Calibri" w:hAnsi="Calibri"/>
                <w:lang w:val="en-GB"/>
              </w:rPr>
            </w:pPr>
          </w:p>
        </w:tc>
      </w:tr>
      <w:tr w:rsidR="00D46372" w:rsidRPr="009A27B8" w14:paraId="09B7C267" w14:textId="77777777" w:rsidTr="003A3743">
        <w:tblPrEx>
          <w:shd w:val="clear" w:color="auto" w:fill="CED7E7"/>
        </w:tblPrEx>
        <w:trPr>
          <w:trHeight w:val="90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9CA209"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6</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010923"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Security incident detection &amp; response</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C863B3"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The Processor has documented policies that are adequate to detecting, resolving and reporting Breaches. </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A597A7" w14:textId="77777777" w:rsidR="00D46372" w:rsidRPr="009A27B8" w:rsidRDefault="00D46372" w:rsidP="00D46372">
            <w:pPr>
              <w:rPr>
                <w:rFonts w:ascii="Calibri" w:hAnsi="Calibri"/>
                <w:lang w:val="en-GB"/>
              </w:rPr>
            </w:pPr>
          </w:p>
        </w:tc>
      </w:tr>
      <w:tr w:rsidR="00D46372" w:rsidRPr="009A27B8" w14:paraId="43440FC0" w14:textId="77777777" w:rsidTr="003A3743">
        <w:tblPrEx>
          <w:shd w:val="clear" w:color="auto" w:fill="CED7E7"/>
        </w:tblPrEx>
        <w:trPr>
          <w:trHeight w:val="123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A9B000"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7</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D1CDE3"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Vulnerability / patch management</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D447CB" w14:textId="41AAFB76"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The Processor regularly or continuously searches for vulnerabilities within the used and provided applications, systems and networks. The Processor installs and implements security patches immediately or as soon as possible after </w:t>
            </w:r>
            <w:r w:rsidR="001937EB"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their</w:t>
            </w: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 release. </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D317C7" w14:textId="77777777" w:rsidR="00D46372" w:rsidRPr="009A27B8" w:rsidRDefault="00D46372" w:rsidP="00D46372">
            <w:pPr>
              <w:rPr>
                <w:rFonts w:ascii="Calibri" w:hAnsi="Calibri"/>
                <w:lang w:val="en-GB"/>
              </w:rPr>
            </w:pPr>
          </w:p>
        </w:tc>
      </w:tr>
      <w:tr w:rsidR="00D46372" w:rsidRPr="009A27B8" w14:paraId="199F95B9" w14:textId="77777777" w:rsidTr="003A3743">
        <w:tblPrEx>
          <w:shd w:val="clear" w:color="auto" w:fill="CED7E7"/>
        </w:tblPrEx>
        <w:trPr>
          <w:trHeight w:val="97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1D0627"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8</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81D1FE"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Network and system security</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1F695"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The Processor has implemented measures to prevent and detect misuse of, and malware on the Processor’s network and systems (such as firewalls and antivirus software from reliable vendors).</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3D8EE5" w14:textId="77777777" w:rsidR="00D46372" w:rsidRPr="009A27B8" w:rsidRDefault="00D46372" w:rsidP="00D46372">
            <w:pPr>
              <w:rPr>
                <w:rFonts w:ascii="Calibri" w:hAnsi="Calibri"/>
                <w:lang w:val="en-GB"/>
              </w:rPr>
            </w:pPr>
          </w:p>
        </w:tc>
      </w:tr>
      <w:tr w:rsidR="00D46372" w:rsidRPr="009A27B8" w14:paraId="2C90797D" w14:textId="77777777" w:rsidTr="003A3743">
        <w:tblPrEx>
          <w:shd w:val="clear" w:color="auto" w:fill="CED7E7"/>
        </w:tblPrEx>
        <w:trPr>
          <w:trHeight w:val="71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3FAC55"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9</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2EF5B"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Physical access control</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652B8F"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The Processor takes appropriate measures (such as locks, cameras, and alarm systems) to secure the premises where data may be processed against unauthorized access. </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44DAF3" w14:textId="77777777" w:rsidR="00D46372" w:rsidRPr="009A27B8" w:rsidRDefault="00D46372" w:rsidP="00D46372">
            <w:pPr>
              <w:rPr>
                <w:rFonts w:ascii="Calibri" w:hAnsi="Calibri"/>
                <w:lang w:val="en-GB"/>
              </w:rPr>
            </w:pPr>
          </w:p>
        </w:tc>
      </w:tr>
      <w:tr w:rsidR="00D46372" w:rsidRPr="009A27B8" w14:paraId="56351991" w14:textId="77777777" w:rsidTr="003A3743">
        <w:tblPrEx>
          <w:shd w:val="clear" w:color="auto" w:fill="CED7E7"/>
        </w:tblPrEx>
        <w:trPr>
          <w:trHeight w:val="1117"/>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9188C0"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10</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380D83"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Logging and monitoring</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6B134F" w14:textId="7398C37A"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Logging and monitoring </w:t>
            </w:r>
            <w:r w:rsidR="001937EB"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are</w:t>
            </w: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 used to demonstrate that only legitimate users and/or applications access the data. In the </w:t>
            </w: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lastRenderedPageBreak/>
              <w:t xml:space="preserve">event that non-legitimate users and/or applications are detected, appropriate action shall be taken. </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D0AACB" w14:textId="77777777" w:rsidR="00D46372" w:rsidRPr="009A27B8" w:rsidRDefault="00D46372" w:rsidP="00D46372">
            <w:pPr>
              <w:rPr>
                <w:rFonts w:ascii="Calibri" w:hAnsi="Calibri"/>
                <w:lang w:val="en-GB"/>
              </w:rPr>
            </w:pPr>
          </w:p>
        </w:tc>
      </w:tr>
      <w:tr w:rsidR="00D46372" w:rsidRPr="009A27B8" w14:paraId="4279B3C9" w14:textId="77777777" w:rsidTr="003A3743">
        <w:tblPrEx>
          <w:shd w:val="clear" w:color="auto" w:fill="CED7E7"/>
        </w:tblPrEx>
        <w:trPr>
          <w:trHeight w:val="45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22B833"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11</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016547"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Demonstrating location</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972C16"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The Processor is able to demonstrate the physical location/geography of the stored data.</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8312EB" w14:textId="77777777" w:rsidR="00D46372" w:rsidRPr="009A27B8" w:rsidRDefault="00D46372" w:rsidP="00D46372">
            <w:pPr>
              <w:rPr>
                <w:rFonts w:ascii="Calibri" w:hAnsi="Calibri"/>
                <w:lang w:val="en-GB"/>
              </w:rPr>
            </w:pPr>
          </w:p>
        </w:tc>
      </w:tr>
      <w:tr w:rsidR="00D46372" w:rsidRPr="009A27B8" w14:paraId="2DA60750" w14:textId="77777777" w:rsidTr="003A3743">
        <w:tblPrEx>
          <w:shd w:val="clear" w:color="auto" w:fill="CED7E7"/>
        </w:tblPrEx>
        <w:trPr>
          <w:trHeight w:val="123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F30DDF"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12</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67F468"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Business continuity &amp; disaster recovery</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183629" w14:textId="65FEED5F"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The Processor has implemented policies, procedures and processes to ensure that the services or products </w:t>
            </w:r>
            <w:r w:rsidR="001937EB"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provided,</w:t>
            </w: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 and the data processed remain available in the event of unforeseen circumstances and disasters, or </w:t>
            </w:r>
            <w:r w:rsidR="00A9578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they </w:t>
            </w: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are fully restored as quickly as possible. </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E2B0D0" w14:textId="77777777" w:rsidR="00D46372" w:rsidRPr="009A27B8" w:rsidRDefault="00D46372" w:rsidP="00D46372">
            <w:pPr>
              <w:rPr>
                <w:rFonts w:ascii="Calibri" w:hAnsi="Calibri"/>
                <w:lang w:val="en-GB"/>
              </w:rPr>
            </w:pPr>
          </w:p>
        </w:tc>
      </w:tr>
      <w:tr w:rsidR="00D46372" w:rsidRPr="009A27B8" w14:paraId="0AB24001" w14:textId="77777777" w:rsidTr="003A3743">
        <w:tblPrEx>
          <w:shd w:val="clear" w:color="auto" w:fill="CED7E7"/>
        </w:tblPrEx>
        <w:trPr>
          <w:trHeight w:val="673"/>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73432E"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13</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E5219D"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Secure application development </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475F14"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The Processor uses industry standards (e.g. OWASP, BSIMM, ACS, NIST) to integrate security into application development. </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1729FA" w14:textId="77777777" w:rsidR="00D46372" w:rsidRPr="009A27B8" w:rsidRDefault="00D46372" w:rsidP="00D46372">
            <w:pPr>
              <w:rPr>
                <w:rFonts w:ascii="Calibri" w:hAnsi="Calibri"/>
                <w:lang w:val="en-GB"/>
              </w:rPr>
            </w:pPr>
          </w:p>
        </w:tc>
      </w:tr>
      <w:tr w:rsidR="00D46372" w:rsidRPr="009A27B8" w14:paraId="1BB1CA07" w14:textId="77777777" w:rsidTr="003A3743">
        <w:tblPrEx>
          <w:shd w:val="clear" w:color="auto" w:fill="CED7E7"/>
        </w:tblPrEx>
        <w:trPr>
          <w:trHeight w:val="3835"/>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4E1437" w14:textId="77777777" w:rsidR="00D46372" w:rsidRPr="009A27B8" w:rsidRDefault="00D46372" w:rsidP="00D46372">
            <w:pPr>
              <w:spacing w:after="260" w:line="260" w:lineRule="atLeast"/>
              <w:jc w:val="both"/>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lang w:val="en-GB" w:eastAsia="nl-NL"/>
                <w14:textOutline w14:w="0" w14:cap="flat" w14:cmpd="sng" w14:algn="ctr">
                  <w14:noFill/>
                  <w14:prstDash w14:val="solid"/>
                  <w14:bevel/>
                </w14:textOutline>
              </w:rPr>
              <w:t>14</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6A887B"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Independent control</w:t>
            </w:r>
          </w:p>
        </w:tc>
        <w:tc>
          <w:tcPr>
            <w:tcW w:w="4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028BF5" w14:textId="77777777" w:rsidR="00D46372" w:rsidRPr="009A27B8" w:rsidRDefault="00D46372" w:rsidP="00D46372">
            <w:pPr>
              <w:spacing w:after="260" w:line="260" w:lineRule="atLeast"/>
              <w:rPr>
                <w:rFonts w:ascii="Calibri" w:eastAsia="Calibri" w:hAnsi="Calibri" w:cs="Calibri"/>
                <w:color w:val="000000"/>
                <w:sz w:val="18"/>
                <w:szCs w:val="18"/>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 xml:space="preserve">The Processor permits an external party to conduct audits, vulnerability scans and periodic penetration tests on its applications and networks, on behalf of the Controller and in consultation with the Processor. </w:t>
            </w:r>
          </w:p>
          <w:p w14:paraId="03C01577" w14:textId="77777777" w:rsidR="00D46372" w:rsidRPr="009A27B8" w:rsidRDefault="00D46372" w:rsidP="00D46372">
            <w:pPr>
              <w:spacing w:after="260" w:line="260" w:lineRule="atLeast"/>
              <w:rPr>
                <w:rFonts w:ascii="Calibri" w:eastAsia="Calibri" w:hAnsi="Calibri" w:cs="Calibri"/>
                <w:color w:val="000000"/>
                <w:sz w:val="18"/>
                <w:szCs w:val="18"/>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Preferably, the Processor itself regularly engages qualified external parties to perform audits, vulnerability scans and periodic penetration tests on its applications and networks.</w:t>
            </w:r>
          </w:p>
          <w:p w14:paraId="7B043970"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 w:val="18"/>
                <w:szCs w:val="18"/>
                <w:u w:color="000000"/>
                <w:lang w:val="en-GB" w:eastAsia="nl-NL"/>
                <w14:textOutline w14:w="0" w14:cap="flat" w14:cmpd="sng" w14:algn="ctr">
                  <w14:noFill/>
                  <w14:prstDash w14:val="solid"/>
                  <w14:bevel/>
                </w14:textOutline>
              </w:rPr>
              <w:t>Ideally, the Processor also has policies and procedures in place for identifying and reporting security vulnerabilities by independent security researchers (such as a responsible disclosure policy and/or a bug bounty program). Rewarding parties who responsibly report significant security vulnerabilities is considered a positive practice.</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1C7B44" w14:textId="77777777" w:rsidR="00D46372" w:rsidRPr="009A27B8" w:rsidRDefault="00D46372" w:rsidP="00D46372">
            <w:pPr>
              <w:rPr>
                <w:rFonts w:ascii="Calibri" w:hAnsi="Calibri"/>
                <w:lang w:val="en-GB"/>
              </w:rPr>
            </w:pPr>
          </w:p>
        </w:tc>
      </w:tr>
    </w:tbl>
    <w:p w14:paraId="0EA03ECB" w14:textId="77777777" w:rsidR="00D46372" w:rsidRPr="009A27B8" w:rsidRDefault="00D46372" w:rsidP="00D46372">
      <w:pPr>
        <w:widowControl w:val="0"/>
        <w:spacing w:after="260"/>
        <w:rPr>
          <w:rFonts w:ascii="Calibri" w:eastAsia="Calibri" w:hAnsi="Calibri" w:cs="Calibri"/>
          <w:color w:val="000000"/>
          <w:sz w:val="18"/>
          <w:szCs w:val="18"/>
          <w:u w:color="000000"/>
          <w:lang w:val="en-GB" w:eastAsia="nl-NL"/>
          <w14:textOutline w14:w="0" w14:cap="flat" w14:cmpd="sng" w14:algn="ctr">
            <w14:noFill/>
            <w14:prstDash w14:val="solid"/>
            <w14:bevel/>
          </w14:textOutline>
        </w:rPr>
      </w:pPr>
    </w:p>
    <w:p w14:paraId="6F06C9D0" w14:textId="5664924A" w:rsidR="00D46372" w:rsidRPr="009A27B8" w:rsidRDefault="00450B00"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As far as</w:t>
      </w:r>
      <w:r w:rsidR="00D46372" w:rsidRPr="009A27B8">
        <w:rPr>
          <w:rFonts w:ascii="Calibri" w:hAnsi="Calibri" w:cs="Arial Unicode MS"/>
          <w:color w:val="000000"/>
          <w:szCs w:val="20"/>
          <w:u w:color="000000"/>
          <w:lang w:val="en-GB" w:eastAsia="nl-NL"/>
          <w14:textOutline w14:w="0" w14:cap="flat" w14:cmpd="sng" w14:algn="ctr">
            <w14:noFill/>
            <w14:prstDash w14:val="solid"/>
            <w14:bevel/>
          </w14:textOutline>
        </w:rPr>
        <w:t xml:space="preserve"> the above table refers to the Processor’s documents, the Processor shall always make the most recent document available to the Controller.</w:t>
      </w:r>
    </w:p>
    <w:p w14:paraId="72791B8F" w14:textId="77777777" w:rsidR="00D46372" w:rsidRPr="009A27B8" w:rsidRDefault="00D46372" w:rsidP="00D46372">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Last modified: [</w:t>
      </w:r>
      <w:r w:rsidRPr="009A27B8">
        <w:rPr>
          <w:rFonts w:ascii="Calibri" w:hAnsi="Calibri" w:cs="Arial Unicode MS"/>
          <w:color w:val="000000"/>
          <w:szCs w:val="20"/>
          <w:u w:color="000000"/>
          <w:shd w:val="clear" w:color="auto" w:fill="FFFF00"/>
          <w:lang w:val="en-GB" w:eastAsia="nl-NL"/>
          <w14:textOutline w14:w="0" w14:cap="flat" w14:cmpd="sng" w14:algn="ctr">
            <w14:noFill/>
            <w14:prstDash w14:val="solid"/>
            <w14:bevel/>
          </w14:textOutline>
        </w:rPr>
        <w:t>DATE</w:t>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w:t>
      </w:r>
    </w:p>
    <w:p w14:paraId="7950AE04" w14:textId="4156DCB6" w:rsidR="00B40BF5" w:rsidRPr="009A27B8" w:rsidRDefault="00B40BF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Calibri" w:eastAsia="Calibri" w:hAnsi="Calibri" w:cs="Maiandra GD"/>
          <w:color w:val="000000" w:themeColor="text1"/>
          <w:szCs w:val="20"/>
          <w:bdr w:val="none" w:sz="0" w:space="0" w:color="auto"/>
          <w:lang w:val="en-GB" w:eastAsia="nl-NL"/>
        </w:rPr>
      </w:pPr>
      <w:r w:rsidRPr="009A27B8">
        <w:rPr>
          <w:rFonts w:eastAsia="Calibri"/>
          <w:lang w:val="en-GB"/>
        </w:rPr>
        <w:br w:type="page"/>
      </w:r>
    </w:p>
    <w:p w14:paraId="3C5E122D" w14:textId="0C8F153F" w:rsidR="00D46372" w:rsidRPr="009A27B8" w:rsidRDefault="00B40BF5" w:rsidP="00A414D9">
      <w:pPr>
        <w:pStyle w:val="Kop1zondernummerSURF"/>
        <w:jc w:val="center"/>
        <w:rPr>
          <w:lang w:val="en-GB"/>
        </w:rPr>
      </w:pPr>
      <w:r w:rsidRPr="009A27B8">
        <w:rPr>
          <w:u w:val="single"/>
          <w:lang w:val="en-GB"/>
        </w:rPr>
        <w:lastRenderedPageBreak/>
        <w:t>Annex C</w:t>
      </w:r>
      <w:r w:rsidRPr="009A27B8">
        <w:rPr>
          <w:lang w:val="en-GB"/>
        </w:rPr>
        <w:t xml:space="preserve">: </w:t>
      </w:r>
      <w:r w:rsidR="008773F7" w:rsidRPr="009A27B8">
        <w:rPr>
          <w:lang w:val="en-GB"/>
        </w:rPr>
        <w:t>Reporting a breach</w:t>
      </w:r>
    </w:p>
    <w:p w14:paraId="02FC40B9" w14:textId="77777777" w:rsidR="008773F7" w:rsidRPr="009A27B8" w:rsidRDefault="008773F7" w:rsidP="008773F7">
      <w:pPr>
        <w:spacing w:line="259" w:lineRule="auto"/>
        <w:jc w:val="both"/>
        <w:rPr>
          <w:rFonts w:ascii="Calibri" w:eastAsia="Calibri" w:hAnsi="Calibri" w:cs="Calibri"/>
          <w:b/>
          <w:bCs/>
          <w:color w:val="000000"/>
          <w:szCs w:val="20"/>
          <w:u w:color="000000"/>
          <w:lang w:val="en-GB" w:eastAsia="nl-NL"/>
          <w14:textOutline w14:w="0" w14:cap="flat" w14:cmpd="sng" w14:algn="ctr">
            <w14:noFill/>
            <w14:prstDash w14:val="solid"/>
            <w14:bevel/>
          </w14:textOutline>
        </w:rPr>
      </w:pPr>
    </w:p>
    <w:p w14:paraId="760ACB75" w14:textId="0F1064EB" w:rsidR="008773F7" w:rsidRPr="009A27B8" w:rsidRDefault="008773F7" w:rsidP="008773F7">
      <w:pPr>
        <w:spacing w:line="259" w:lineRule="auto"/>
        <w:jc w:val="both"/>
        <w:rPr>
          <w:rFonts w:ascii="Calibri" w:eastAsia="Calibri" w:hAnsi="Calibri" w:cs="Calibri"/>
          <w:b/>
          <w:bCs/>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Cs w:val="20"/>
          <w:u w:color="000000"/>
          <w:lang w:val="en-GB" w:eastAsia="nl-NL"/>
          <w14:textOutline w14:w="0" w14:cap="flat" w14:cmpd="sng" w14:algn="ctr">
            <w14:noFill/>
            <w14:prstDash w14:val="solid"/>
            <w14:bevel/>
          </w14:textOutline>
        </w:rPr>
        <w:t>To report a Breach, contact:</w:t>
      </w:r>
    </w:p>
    <w:p w14:paraId="172C4C48" w14:textId="77777777" w:rsidR="008773F7" w:rsidRPr="009A27B8" w:rsidRDefault="008773F7" w:rsidP="008773F7">
      <w:pPr>
        <w:spacing w:line="259" w:lineRule="auto"/>
        <w:jc w:val="both"/>
        <w:rPr>
          <w:rFonts w:ascii="Calibri" w:eastAsia="Calibri" w:hAnsi="Calibri" w:cs="Calibri"/>
          <w:b/>
          <w:bCs/>
          <w:color w:val="000000"/>
          <w:szCs w:val="20"/>
          <w:u w:color="000000"/>
          <w:lang w:val="en-GB" w:eastAsia="nl-NL"/>
          <w14:textOutline w14:w="0" w14:cap="flat" w14:cmpd="sng" w14:algn="ctr">
            <w14:noFill/>
            <w14:prstDash w14:val="solid"/>
            <w14:bevel/>
          </w14:textOutline>
        </w:rPr>
      </w:pPr>
    </w:p>
    <w:tbl>
      <w:tblPr>
        <w:tblStyle w:val="TableNormal"/>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91"/>
        <w:gridCol w:w="1628"/>
        <w:gridCol w:w="1358"/>
        <w:gridCol w:w="4057"/>
      </w:tblGrid>
      <w:tr w:rsidR="008773F7" w:rsidRPr="009A27B8" w14:paraId="486734DD" w14:textId="77777777" w:rsidTr="003A3743">
        <w:trPr>
          <w:trHeight w:val="486"/>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7148A" w14:textId="77777777" w:rsidR="008773F7" w:rsidRPr="009A27B8" w:rsidRDefault="008773F7" w:rsidP="008773F7">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Cs w:val="20"/>
                <w:u w:color="000000"/>
                <w:shd w:val="clear" w:color="auto" w:fill="FFFF00"/>
                <w:lang w:val="en-GB" w:eastAsia="nl-NL"/>
                <w14:textOutline w14:w="0" w14:cap="flat" w14:cmpd="sng" w14:algn="ctr">
                  <w14:noFill/>
                  <w14:prstDash w14:val="solid"/>
                  <w14:bevel/>
                </w14:textOutline>
              </w:rPr>
              <w:t>Contact details</w:t>
            </w:r>
            <w:r w:rsidRPr="009A27B8">
              <w:rPr>
                <w:rFonts w:ascii="Calibri" w:eastAsia="Calibri" w:hAnsi="Calibri" w:cs="Calibri"/>
                <w:color w:val="000000"/>
                <w:szCs w:val="20"/>
                <w:u w:color="000000"/>
                <w:shd w:val="clear" w:color="auto" w:fill="FFFF00"/>
                <w:lang w:val="en-GB" w:eastAsia="nl-NL"/>
                <w14:textOutline w14:w="0" w14:cap="flat" w14:cmpd="sng" w14:algn="ctr">
                  <w14:noFill/>
                  <w14:prstDash w14:val="solid"/>
                  <w14:bevel/>
                </w14:textOutline>
              </w:rPr>
              <w:br/>
            </w:r>
            <w:r w:rsidRPr="009A27B8">
              <w:rPr>
                <w:rFonts w:ascii="Calibri" w:eastAsia="Calibri" w:hAnsi="Calibri" w:cs="Calibri"/>
                <w:b/>
                <w:bCs/>
                <w:color w:val="000000"/>
                <w:szCs w:val="20"/>
                <w:u w:color="000000"/>
                <w:shd w:val="clear" w:color="auto" w:fill="FFFF00"/>
                <w:lang w:val="en-GB" w:eastAsia="nl-NL"/>
                <w14:textOutline w14:w="0" w14:cap="flat" w14:cmpd="sng" w14:algn="ctr">
                  <w14:noFill/>
                  <w14:prstDash w14:val="solid"/>
                  <w14:bevel/>
                </w14:textOutline>
              </w:rPr>
              <w:t xml:space="preserve">in the case of a Breach </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BB652" w14:textId="77777777" w:rsidR="008773F7" w:rsidRPr="009A27B8" w:rsidRDefault="008773F7" w:rsidP="008773F7">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Cs w:val="20"/>
                <w:u w:color="000000"/>
                <w:shd w:val="clear" w:color="auto" w:fill="FFFF00"/>
                <w:lang w:val="en-GB" w:eastAsia="nl-NL"/>
                <w14:textOutline w14:w="0" w14:cap="flat" w14:cmpd="sng" w14:algn="ctr">
                  <w14:noFill/>
                  <w14:prstDash w14:val="solid"/>
                  <w14:bevel/>
                </w14:textOutline>
              </w:rPr>
              <w:t>Name</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E2681" w14:textId="77777777" w:rsidR="008773F7" w:rsidRPr="009A27B8" w:rsidRDefault="008773F7" w:rsidP="008773F7">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Cs w:val="20"/>
                <w:u w:color="000000"/>
                <w:shd w:val="clear" w:color="auto" w:fill="FFFF00"/>
                <w:lang w:val="en-GB" w:eastAsia="nl-NL"/>
                <w14:textOutline w14:w="0" w14:cap="flat" w14:cmpd="sng" w14:algn="ctr">
                  <w14:noFill/>
                  <w14:prstDash w14:val="solid"/>
                  <w14:bevel/>
                </w14:textOutline>
              </w:rPr>
              <w:t>Job title</w:t>
            </w:r>
          </w:p>
        </w:tc>
        <w:tc>
          <w:tcPr>
            <w:tcW w:w="4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7FDFA" w14:textId="3681FD85" w:rsidR="008773F7" w:rsidRPr="009A27B8" w:rsidRDefault="008773F7" w:rsidP="008773F7">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b/>
                <w:bCs/>
                <w:color w:val="000000"/>
                <w:szCs w:val="20"/>
                <w:u w:color="000000"/>
                <w:shd w:val="clear" w:color="auto" w:fill="FFFF00"/>
                <w:lang w:val="en-GB" w:eastAsia="nl-NL"/>
                <w14:textOutline w14:w="0" w14:cap="flat" w14:cmpd="sng" w14:algn="ctr">
                  <w14:noFill/>
                  <w14:prstDash w14:val="solid"/>
                  <w14:bevel/>
                </w14:textOutline>
              </w:rPr>
              <w:t>Email:</w:t>
            </w:r>
            <w:r w:rsidRPr="009A27B8">
              <w:rPr>
                <w:rFonts w:ascii="Calibri" w:eastAsia="Calibri" w:hAnsi="Calibri" w:cs="Calibri"/>
                <w:color w:val="000000"/>
                <w:szCs w:val="20"/>
                <w:u w:color="000000"/>
                <w:shd w:val="clear" w:color="auto" w:fill="FFFF00"/>
                <w:lang w:val="en-GB" w:eastAsia="nl-NL"/>
                <w14:textOutline w14:w="0" w14:cap="flat" w14:cmpd="sng" w14:algn="ctr">
                  <w14:noFill/>
                  <w14:prstDash w14:val="solid"/>
                  <w14:bevel/>
                </w14:textOutline>
              </w:rPr>
              <w:br/>
            </w:r>
            <w:r w:rsidRPr="009A27B8">
              <w:rPr>
                <w:rFonts w:ascii="Calibri" w:eastAsia="Calibri" w:hAnsi="Calibri" w:cs="Calibri"/>
                <w:b/>
                <w:bCs/>
                <w:color w:val="000000"/>
                <w:szCs w:val="20"/>
                <w:u w:color="000000"/>
                <w:shd w:val="clear" w:color="auto" w:fill="FFFF00"/>
                <w:lang w:val="en-GB" w:eastAsia="nl-NL"/>
                <w14:textOutline w14:w="0" w14:cap="flat" w14:cmpd="sng" w14:algn="ctr">
                  <w14:noFill/>
                  <w14:prstDash w14:val="solid"/>
                  <w14:bevel/>
                </w14:textOutline>
              </w:rPr>
              <w:t>address</w:t>
            </w:r>
          </w:p>
        </w:tc>
      </w:tr>
      <w:tr w:rsidR="008773F7" w:rsidRPr="009A27B8" w14:paraId="3391B873" w14:textId="77777777" w:rsidTr="003A3743">
        <w:trPr>
          <w:trHeight w:val="226"/>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3E258" w14:textId="77777777" w:rsidR="008773F7" w:rsidRPr="009A27B8" w:rsidRDefault="008773F7" w:rsidP="008773F7">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shd w:val="clear" w:color="auto" w:fill="FFFF00"/>
                <w:lang w:val="en-GB" w:eastAsia="nl-NL"/>
                <w14:textOutline w14:w="0" w14:cap="flat" w14:cmpd="sng" w14:algn="ctr">
                  <w14:noFill/>
                  <w14:prstDash w14:val="solid"/>
                  <w14:bevel/>
                </w14:textOutline>
              </w:rPr>
              <w:t>Controller</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F1E91" w14:textId="77777777" w:rsidR="008773F7" w:rsidRPr="009A27B8" w:rsidRDefault="008773F7" w:rsidP="008773F7">
            <w:pPr>
              <w:rPr>
                <w:rFonts w:ascii="Calibri" w:hAnsi="Calibri"/>
                <w:lang w:val="en-GB"/>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456EE" w14:textId="77777777" w:rsidR="008773F7" w:rsidRPr="009A27B8" w:rsidRDefault="008773F7" w:rsidP="008773F7">
            <w:pPr>
              <w:rPr>
                <w:rFonts w:ascii="Calibri" w:hAnsi="Calibri"/>
                <w:lang w:val="en-GB"/>
              </w:rPr>
            </w:pPr>
          </w:p>
        </w:tc>
        <w:tc>
          <w:tcPr>
            <w:tcW w:w="4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7890D" w14:textId="77777777" w:rsidR="008773F7" w:rsidRPr="009A27B8" w:rsidRDefault="008773F7" w:rsidP="008773F7">
            <w:pPr>
              <w:rPr>
                <w:rFonts w:ascii="Calibri" w:hAnsi="Calibri"/>
                <w:lang w:val="en-GB"/>
              </w:rPr>
            </w:pPr>
          </w:p>
        </w:tc>
      </w:tr>
      <w:tr w:rsidR="008773F7" w:rsidRPr="009A27B8" w14:paraId="33059E48" w14:textId="77777777" w:rsidTr="003A3743">
        <w:trPr>
          <w:trHeight w:val="226"/>
        </w:trPr>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DF003" w14:textId="77777777" w:rsidR="008773F7" w:rsidRPr="009A27B8" w:rsidRDefault="008773F7" w:rsidP="008773F7">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eastAsia="Calibri" w:hAnsi="Calibri" w:cs="Calibri"/>
                <w:color w:val="000000"/>
                <w:szCs w:val="20"/>
                <w:u w:color="000000"/>
                <w:shd w:val="clear" w:color="auto" w:fill="FFFF00"/>
                <w:lang w:val="en-GB" w:eastAsia="nl-NL"/>
                <w14:textOutline w14:w="0" w14:cap="flat" w14:cmpd="sng" w14:algn="ctr">
                  <w14:noFill/>
                  <w14:prstDash w14:val="solid"/>
                  <w14:bevel/>
                </w14:textOutline>
              </w:rPr>
              <w:t>Processor</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D93EF" w14:textId="77777777" w:rsidR="008773F7" w:rsidRPr="009A27B8" w:rsidRDefault="008773F7" w:rsidP="008773F7">
            <w:pPr>
              <w:rPr>
                <w:rFonts w:ascii="Calibri" w:hAnsi="Calibri"/>
                <w:lang w:val="en-GB"/>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10094" w14:textId="77777777" w:rsidR="008773F7" w:rsidRPr="009A27B8" w:rsidRDefault="008773F7" w:rsidP="008773F7">
            <w:pPr>
              <w:rPr>
                <w:rFonts w:ascii="Calibri" w:hAnsi="Calibri"/>
                <w:lang w:val="en-GB"/>
              </w:rPr>
            </w:pPr>
          </w:p>
        </w:tc>
        <w:tc>
          <w:tcPr>
            <w:tcW w:w="4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015EB" w14:textId="77777777" w:rsidR="008773F7" w:rsidRPr="009A27B8" w:rsidRDefault="008773F7" w:rsidP="008773F7">
            <w:pPr>
              <w:rPr>
                <w:rFonts w:ascii="Calibri" w:hAnsi="Calibri"/>
                <w:lang w:val="en-GB"/>
              </w:rPr>
            </w:pPr>
          </w:p>
        </w:tc>
      </w:tr>
    </w:tbl>
    <w:p w14:paraId="7995F5B0" w14:textId="77777777" w:rsidR="008773F7" w:rsidRPr="009A27B8" w:rsidRDefault="008773F7" w:rsidP="008773F7">
      <w:pPr>
        <w:widowControl w:val="0"/>
        <w:jc w:val="both"/>
        <w:rPr>
          <w:rFonts w:ascii="Calibri" w:eastAsia="Calibri" w:hAnsi="Calibri" w:cs="Calibri"/>
          <w:b/>
          <w:bCs/>
          <w:color w:val="000000"/>
          <w:szCs w:val="20"/>
          <w:u w:color="000000"/>
          <w:lang w:val="en-GB" w:eastAsia="nl-NL"/>
          <w14:textOutline w14:w="0" w14:cap="flat" w14:cmpd="sng" w14:algn="ctr">
            <w14:noFill/>
            <w14:prstDash w14:val="solid"/>
            <w14:bevel/>
          </w14:textOutline>
        </w:rPr>
      </w:pPr>
    </w:p>
    <w:p w14:paraId="08FF505C" w14:textId="77777777" w:rsidR="008773F7" w:rsidRPr="009A27B8" w:rsidRDefault="008773F7" w:rsidP="008773F7">
      <w:pPr>
        <w:spacing w:line="259" w:lineRule="auto"/>
        <w:jc w:val="both"/>
        <w:rPr>
          <w:rFonts w:ascii="Calibri" w:eastAsia="Calibri" w:hAnsi="Calibri" w:cs="Calibri"/>
          <w:b/>
          <w:bCs/>
          <w:color w:val="000000"/>
          <w:szCs w:val="20"/>
          <w:u w:color="000000"/>
          <w:lang w:val="en-GB" w:eastAsia="nl-NL"/>
          <w14:textOutline w14:w="0" w14:cap="flat" w14:cmpd="sng" w14:algn="ctr">
            <w14:noFill/>
            <w14:prstDash w14:val="solid"/>
            <w14:bevel/>
          </w14:textOutline>
        </w:rPr>
      </w:pPr>
    </w:p>
    <w:p w14:paraId="45BA90CB" w14:textId="31B305D3" w:rsidR="008773F7" w:rsidRPr="009A27B8" w:rsidRDefault="008773F7" w:rsidP="008773F7">
      <w:pPr>
        <w:spacing w:after="260" w:line="260" w:lineRule="atLeast"/>
        <w:rPr>
          <w:rFonts w:ascii="Calibri" w:eastAsia="Calibri" w:hAnsi="Calibri" w:cs="Calibri"/>
          <w:b/>
          <w:bCs/>
          <w:color w:val="000000"/>
          <w:szCs w:val="20"/>
          <w:u w:val="single"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 xml:space="preserve">The Processor shall, when reporting a Breach, at least provide the information as described in the most recent version of the ‘Data Breach Notification Desk’ of  the Dutch Data Protection Authority, available at: </w:t>
      </w:r>
      <w:hyperlink r:id="rId15" w:history="1">
        <w:r w:rsidRPr="009A27B8">
          <w:rPr>
            <w:rFonts w:ascii="Calibri" w:hAnsi="Calibri" w:cs="Arial Unicode MS"/>
            <w:color w:val="0000FF"/>
            <w:szCs w:val="20"/>
            <w:u w:val="single" w:color="0000FF"/>
            <w:lang w:val="en-GB" w:eastAsia="nl-NL"/>
            <w14:textOutline w14:w="0" w14:cap="flat" w14:cmpd="sng" w14:algn="ctr">
              <w14:noFill/>
              <w14:prstDash w14:val="solid"/>
              <w14:bevel/>
            </w14:textOutline>
          </w:rPr>
          <w:t>datalekken.autoriteitpersoonsgegevens.nl/</w:t>
        </w:r>
      </w:hyperlink>
      <w:r w:rsidRPr="009A27B8">
        <w:rPr>
          <w:rFonts w:ascii="Calibri" w:hAnsi="Calibri" w:cs="Arial Unicode MS"/>
          <w:color w:val="000000"/>
          <w:szCs w:val="20"/>
          <w:u w:color="000000"/>
          <w:lang w:val="en-GB" w:eastAsia="nl-NL"/>
          <w14:textOutline w14:w="0" w14:cap="flat" w14:cmpd="sng" w14:algn="ctr">
            <w14:noFill/>
            <w14:prstDash w14:val="solid"/>
            <w14:bevel/>
          </w14:textOutline>
        </w:rPr>
        <w:t xml:space="preserve">, detailed in the ‘Questionnaire data breach form’: </w:t>
      </w:r>
      <w:hyperlink r:id="rId16" w:history="1">
        <w:r w:rsidRPr="009A27B8">
          <w:rPr>
            <w:rFonts w:ascii="Calibri" w:hAnsi="Calibri" w:cs="Arial Unicode MS"/>
            <w:color w:val="0000FF"/>
            <w:szCs w:val="20"/>
            <w:u w:val="single" w:color="0000FF"/>
            <w:lang w:val="en-GB" w:eastAsia="nl-NL"/>
            <w14:textOutline w14:w="0" w14:cap="flat" w14:cmpd="sng" w14:algn="ctr">
              <w14:noFill/>
              <w14:prstDash w14:val="solid"/>
              <w14:bevel/>
            </w14:textOutline>
          </w:rPr>
          <w:t>autoriteitpersoonsgegevens.nl/documenten/vragenlijst-meldformulier-datalekken</w:t>
        </w:r>
      </w:hyperlink>
      <w:r w:rsidRPr="009A27B8">
        <w:rPr>
          <w:rFonts w:ascii="Calibri" w:hAnsi="Calibri" w:cs="Arial Unicode MS"/>
          <w:color w:val="000000"/>
          <w:szCs w:val="20"/>
          <w:u w:color="000000"/>
          <w:lang w:val="en-GB" w:eastAsia="nl-NL"/>
          <w14:textOutline w14:w="0" w14:cap="flat" w14:cmpd="sng" w14:algn="ctr">
            <w14:noFill/>
            <w14:prstDash w14:val="solid"/>
            <w14:bevel/>
          </w14:textOutline>
        </w:rPr>
        <w:t>.</w:t>
      </w:r>
    </w:p>
    <w:p w14:paraId="21519E81" w14:textId="77777777" w:rsidR="008773F7" w:rsidRPr="009A27B8" w:rsidRDefault="008773F7" w:rsidP="008773F7">
      <w:pPr>
        <w:spacing w:after="260" w:line="260" w:lineRule="atLeast"/>
        <w:rPr>
          <w:rFonts w:ascii="Calibri" w:eastAsia="Calibri" w:hAnsi="Calibri" w:cs="Calibri"/>
          <w:color w:val="000000"/>
          <w:szCs w:val="20"/>
          <w:u w:color="000000"/>
          <w:lang w:val="en-GB" w:eastAsia="nl-NL"/>
          <w14:textOutline w14:w="0" w14:cap="flat" w14:cmpd="sng" w14:algn="ctr">
            <w14:noFill/>
            <w14:prstDash w14:val="solid"/>
            <w14:bevel/>
          </w14:textOutline>
        </w:rPr>
      </w:pPr>
      <w:r w:rsidRPr="009A27B8">
        <w:rPr>
          <w:rFonts w:ascii="Calibri" w:hAnsi="Calibri" w:cs="Arial Unicode MS"/>
          <w:color w:val="000000"/>
          <w:szCs w:val="20"/>
          <w:u w:color="000000"/>
          <w:lang w:val="en-GB" w:eastAsia="nl-NL"/>
          <w14:textOutline w14:w="0" w14:cap="flat" w14:cmpd="sng" w14:algn="ctr">
            <w14:noFill/>
            <w14:prstDash w14:val="solid"/>
            <w14:bevel/>
          </w14:textOutline>
        </w:rPr>
        <w:t>Last modified: [</w:t>
      </w:r>
      <w:r w:rsidRPr="009A27B8">
        <w:rPr>
          <w:rFonts w:ascii="Calibri" w:hAnsi="Calibri" w:cs="Arial Unicode MS"/>
          <w:color w:val="000000"/>
          <w:szCs w:val="20"/>
          <w:u w:color="000000"/>
          <w:shd w:val="clear" w:color="auto" w:fill="FFFF00"/>
          <w:lang w:val="en-GB" w:eastAsia="nl-NL"/>
          <w14:textOutline w14:w="0" w14:cap="flat" w14:cmpd="sng" w14:algn="ctr">
            <w14:noFill/>
            <w14:prstDash w14:val="solid"/>
            <w14:bevel/>
          </w14:textOutline>
        </w:rPr>
        <w:t>DATE</w:t>
      </w:r>
      <w:r w:rsidRPr="009A27B8">
        <w:rPr>
          <w:rFonts w:ascii="Calibri" w:hAnsi="Calibri" w:cs="Arial Unicode MS"/>
          <w:color w:val="000000"/>
          <w:szCs w:val="20"/>
          <w:u w:color="000000"/>
          <w:lang w:val="en-GB" w:eastAsia="nl-NL"/>
          <w14:textOutline w14:w="0" w14:cap="flat" w14:cmpd="sng" w14:algn="ctr">
            <w14:noFill/>
            <w14:prstDash w14:val="solid"/>
            <w14:bevel/>
          </w14:textOutline>
        </w:rPr>
        <w:t>]</w:t>
      </w:r>
    </w:p>
    <w:p w14:paraId="507CC8DB" w14:textId="77777777" w:rsidR="008773F7" w:rsidRPr="009A27B8" w:rsidRDefault="008773F7" w:rsidP="00CB7E33">
      <w:pPr>
        <w:pStyle w:val="BasistekstSURF"/>
        <w:rPr>
          <w:rFonts w:eastAsia="Calibri"/>
          <w:lang w:val="en-GB"/>
        </w:rPr>
      </w:pPr>
    </w:p>
    <w:sectPr w:rsidR="008773F7" w:rsidRPr="009A27B8" w:rsidSect="00A268DC">
      <w:headerReference w:type="default" r:id="rId17"/>
      <w:footerReference w:type="default" r:id="rId18"/>
      <w:pgSz w:w="11906" w:h="16838" w:code="9"/>
      <w:pgMar w:top="1560" w:right="1616" w:bottom="1531" w:left="1616"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D98A" w14:textId="77777777" w:rsidR="00DB5D87" w:rsidRPr="00410612" w:rsidRDefault="00DB5D87" w:rsidP="00410612">
      <w:pPr>
        <w:pStyle w:val="Voettekst"/>
      </w:pPr>
    </w:p>
  </w:endnote>
  <w:endnote w:type="continuationSeparator" w:id="0">
    <w:p w14:paraId="107147AA" w14:textId="77777777" w:rsidR="00DB5D87" w:rsidRPr="00410612" w:rsidRDefault="00DB5D87" w:rsidP="00410612">
      <w:pPr>
        <w:pStyle w:val="Voettekst"/>
      </w:pPr>
    </w:p>
  </w:endnote>
  <w:endnote w:type="continuationNotice" w:id="1">
    <w:p w14:paraId="298A3E9A" w14:textId="77777777" w:rsidR="00DB5D87" w:rsidRDefault="00DB5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CCC3" w14:textId="1AD51B18" w:rsidR="004C0618" w:rsidRPr="00D05779" w:rsidRDefault="00406656" w:rsidP="00F84DBF">
    <w:pPr>
      <w:pStyle w:val="Voettekst"/>
      <w:tabs>
        <w:tab w:val="right" w:pos="8505"/>
      </w:tabs>
      <w:jc w:val="left"/>
      <w:rPr>
        <w:sz w:val="18"/>
        <w:szCs w:val="14"/>
      </w:rPr>
    </w:pPr>
    <w:r>
      <w:rPr>
        <w:sz w:val="18"/>
        <w:szCs w:val="14"/>
        <w:lang w:val="en-GB"/>
      </w:rPr>
      <w:tab/>
    </w:r>
    <w:r w:rsidR="00F84DBF" w:rsidRPr="004C0618">
      <w:rPr>
        <w:sz w:val="18"/>
        <w:szCs w:val="14"/>
        <w:lang w:val="en-US"/>
      </w:rPr>
      <w:fldChar w:fldCharType="begin"/>
    </w:r>
    <w:r w:rsidR="00F84DBF" w:rsidRPr="004C0618">
      <w:rPr>
        <w:sz w:val="18"/>
        <w:szCs w:val="14"/>
        <w:lang w:val="en-US"/>
      </w:rPr>
      <w:instrText xml:space="preserve"> PAGE </w:instrText>
    </w:r>
    <w:r w:rsidR="00F84DBF" w:rsidRPr="004C0618">
      <w:rPr>
        <w:sz w:val="18"/>
        <w:szCs w:val="14"/>
        <w:lang w:val="en-US"/>
      </w:rPr>
      <w:fldChar w:fldCharType="separate"/>
    </w:r>
    <w:r w:rsidR="00F84DBF" w:rsidRPr="00F84DBF">
      <w:rPr>
        <w:sz w:val="18"/>
        <w:szCs w:val="14"/>
        <w:lang w:val="en-US"/>
      </w:rPr>
      <w:t>1</w:t>
    </w:r>
    <w:r w:rsidR="00F84DBF" w:rsidRPr="004C0618">
      <w:rPr>
        <w:sz w:val="18"/>
        <w:szCs w:val="14"/>
        <w:lang w:val="en-GB"/>
      </w:rPr>
      <w:fldChar w:fldCharType="end"/>
    </w:r>
    <w:r w:rsidR="00F84DBF" w:rsidRPr="004C0618">
      <w:rPr>
        <w:sz w:val="18"/>
        <w:szCs w:val="14"/>
        <w:lang w:val="en-US"/>
      </w:rPr>
      <w:t>/</w:t>
    </w:r>
    <w:r w:rsidR="00F84DBF" w:rsidRPr="004C0618">
      <w:rPr>
        <w:sz w:val="18"/>
        <w:szCs w:val="14"/>
        <w:lang w:val="en-US"/>
      </w:rPr>
      <w:fldChar w:fldCharType="begin"/>
    </w:r>
    <w:r w:rsidR="00F84DBF" w:rsidRPr="004C0618">
      <w:rPr>
        <w:sz w:val="18"/>
        <w:szCs w:val="14"/>
        <w:lang w:val="en-US"/>
      </w:rPr>
      <w:instrText xml:space="preserve"> NUMPAGES </w:instrText>
    </w:r>
    <w:r w:rsidR="00F84DBF" w:rsidRPr="004C0618">
      <w:rPr>
        <w:sz w:val="18"/>
        <w:szCs w:val="14"/>
        <w:lang w:val="en-US"/>
      </w:rPr>
      <w:fldChar w:fldCharType="separate"/>
    </w:r>
    <w:r w:rsidR="00F84DBF" w:rsidRPr="00F84DBF">
      <w:rPr>
        <w:sz w:val="18"/>
        <w:szCs w:val="14"/>
        <w:lang w:val="en-US"/>
      </w:rPr>
      <w:t>13</w:t>
    </w:r>
    <w:r w:rsidR="00F84DBF" w:rsidRPr="004C0618">
      <w:rPr>
        <w:sz w:val="18"/>
        <w:szCs w:val="14"/>
        <w:lang w:val="en-GB"/>
      </w:rPr>
      <w:fldChar w:fldCharType="end"/>
    </w:r>
  </w:p>
  <w:p w14:paraId="1766A15B" w14:textId="498DFFF5" w:rsidR="004C0618" w:rsidRPr="004C0618" w:rsidRDefault="004C0618" w:rsidP="009D6EB5">
    <w:pPr>
      <w:pStyle w:val="BasistekstSUR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CC23" w14:textId="77777777" w:rsidR="00DB5D87" w:rsidRPr="00410612" w:rsidRDefault="00DB5D87" w:rsidP="00410612">
      <w:pPr>
        <w:pStyle w:val="Voettekst"/>
      </w:pPr>
    </w:p>
  </w:footnote>
  <w:footnote w:type="continuationSeparator" w:id="0">
    <w:p w14:paraId="60C89FEA" w14:textId="77777777" w:rsidR="00DB5D87" w:rsidRPr="00410612" w:rsidRDefault="00DB5D87" w:rsidP="00410612">
      <w:pPr>
        <w:pStyle w:val="Voettekst"/>
      </w:pPr>
    </w:p>
  </w:footnote>
  <w:footnote w:type="continuationNotice" w:id="1">
    <w:p w14:paraId="58B13C08" w14:textId="77777777" w:rsidR="00DB5D87" w:rsidRDefault="00DB5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67B4" w14:textId="66AAA600" w:rsidR="004C0618" w:rsidRDefault="004C0618">
    <w:pPr>
      <w:pStyle w:val="Koptekst"/>
    </w:pPr>
  </w:p>
  <w:p w14:paraId="59B665F4" w14:textId="77777777" w:rsidR="004C0618" w:rsidRPr="004C0618" w:rsidRDefault="004C0618" w:rsidP="009D6EB5">
    <w:pPr>
      <w:pStyle w:val="BasistekstSUR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4397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71378863" o:spid="_x0000_i1025" type="#_x0000_t75" style="width:50.4pt;height:85.8pt;visibility:visible;mso-wrap-style:square">
            <v:imagedata r:id="rId1" o:title=""/>
          </v:shape>
        </w:pict>
      </mc:Choice>
      <mc:Fallback>
        <w:drawing>
          <wp:inline distT="0" distB="0" distL="0" distR="0" wp14:anchorId="24DBC41E" wp14:editId="1DFF7DD4">
            <wp:extent cx="640080" cy="1089660"/>
            <wp:effectExtent l="0" t="0" r="0" b="0"/>
            <wp:docPr id="1071378863" name="Afbeelding 107137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1089660"/>
                    </a:xfrm>
                    <a:prstGeom prst="rect">
                      <a:avLst/>
                    </a:prstGeom>
                    <a:noFill/>
                    <a:ln>
                      <a:noFill/>
                    </a:ln>
                  </pic:spPr>
                </pic:pic>
              </a:graphicData>
            </a:graphic>
          </wp:inline>
        </w:drawing>
      </mc:Fallback>
    </mc:AlternateContent>
  </w:numPicBullet>
  <w:numPicBullet w:numPicBulletId="1">
    <mc:AlternateContent>
      <mc:Choice Requires="v">
        <w:pict>
          <v:shape w14:anchorId="3DBB3C16" id="Afbeelding 1950511948" o:spid="_x0000_i1025" type="#_x0000_t75" style="width:50.4pt;height:85.8pt;visibility:visible;mso-wrap-style:square">
            <v:imagedata r:id="rId3" o:title=""/>
          </v:shape>
        </w:pict>
      </mc:Choice>
      <mc:Fallback>
        <w:drawing>
          <wp:inline distT="0" distB="0" distL="0" distR="0" wp14:anchorId="6D8AFA11" wp14:editId="07A84608">
            <wp:extent cx="640080" cy="1089660"/>
            <wp:effectExtent l="0" t="0" r="0" b="0"/>
            <wp:docPr id="1950511948" name="Afbeelding 195051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1089660"/>
                    </a:xfrm>
                    <a:prstGeom prst="rect">
                      <a:avLst/>
                    </a:prstGeom>
                    <a:noFill/>
                    <a:ln>
                      <a:noFill/>
                    </a:ln>
                  </pic:spPr>
                </pic:pic>
              </a:graphicData>
            </a:graphic>
          </wp:inline>
        </w:drawing>
      </mc:Fallback>
    </mc:AlternateContent>
  </w:numPicBullet>
  <w:numPicBullet w:numPicBulletId="2">
    <mc:AlternateContent>
      <mc:Choice Requires="v">
        <w:pict>
          <v:shape w14:anchorId="7A4C3A0B" id="Afbeelding 1485961615" o:spid="_x0000_i1025" type="#_x0000_t75" style="width:49.8pt;height:85.2pt;visibility:visible;mso-wrap-style:square">
            <v:imagedata r:id="rId5" o:title=""/>
          </v:shape>
        </w:pict>
      </mc:Choice>
      <mc:Fallback>
        <w:drawing>
          <wp:inline distT="0" distB="0" distL="0" distR="0" wp14:anchorId="5D934B17" wp14:editId="76B4954F">
            <wp:extent cx="632460" cy="1082040"/>
            <wp:effectExtent l="0" t="0" r="0" b="0"/>
            <wp:docPr id="1485961615" name="Afbeelding 148596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108204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406B53"/>
    <w:multiLevelType w:val="multilevel"/>
    <w:tmpl w:val="F0A2140A"/>
    <w:lvl w:ilvl="0">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448"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168" w:hanging="281"/>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888"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608"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328" w:hanging="281"/>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048"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4768"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488" w:hanging="281"/>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4FA1681"/>
    <w:multiLevelType w:val="hybridMultilevel"/>
    <w:tmpl w:val="FF9A4BC6"/>
    <w:styleLink w:val="ImportedStyle4"/>
    <w:lvl w:ilvl="0" w:tplc="7A6638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26409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2" w:tplc="3D52C3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C0EE2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55A571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9CEB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20C7B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D447E5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E27D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A25F91"/>
    <w:multiLevelType w:val="hybridMultilevel"/>
    <w:tmpl w:val="FF9A4BC6"/>
    <w:numStyleLink w:val="ImportedStyle4"/>
  </w:abstractNum>
  <w:abstractNum w:abstractNumId="13" w15:restartNumberingAfterBreak="0">
    <w:nsid w:val="0CCF1149"/>
    <w:multiLevelType w:val="multilevel"/>
    <w:tmpl w:val="90A8103A"/>
    <w:numStyleLink w:val="BijlagenummeringSURF"/>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2A07A0"/>
    <w:multiLevelType w:val="hybridMultilevel"/>
    <w:tmpl w:val="809EC93A"/>
    <w:styleLink w:val="ImportedStyle7"/>
    <w:lvl w:ilvl="0" w:tplc="3BB885AE">
      <w:start w:val="1"/>
      <w:numFmt w:val="lowerRoman"/>
      <w:lvlText w:val="(%1)"/>
      <w:lvlJc w:val="left"/>
      <w:pPr>
        <w:ind w:left="851" w:hanging="243"/>
      </w:pPr>
      <w:rPr>
        <w:rFonts w:hAnsi="Arial Unicode MS"/>
        <w:caps w:val="0"/>
        <w:smallCaps w:val="0"/>
        <w:strike w:val="0"/>
        <w:dstrike w:val="0"/>
        <w:outline w:val="0"/>
        <w:emboss w:val="0"/>
        <w:imprint w:val="0"/>
        <w:spacing w:val="0"/>
        <w:w w:val="100"/>
        <w:kern w:val="0"/>
        <w:position w:val="0"/>
        <w:highlight w:val="none"/>
        <w:vertAlign w:val="baseline"/>
      </w:rPr>
    </w:lvl>
    <w:lvl w:ilvl="1" w:tplc="FC7CE70E">
      <w:start w:val="1"/>
      <w:numFmt w:val="lowerLetter"/>
      <w:suff w:val="nothing"/>
      <w:lvlText w:val="%2."/>
      <w:lvlJc w:val="left"/>
      <w:pPr>
        <w:ind w:left="1571"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C1D82C80">
      <w:start w:val="1"/>
      <w:numFmt w:val="lowerRoman"/>
      <w:lvlText w:val="%3."/>
      <w:lvlJc w:val="left"/>
      <w:pPr>
        <w:ind w:left="2291"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939EB81C">
      <w:start w:val="1"/>
      <w:numFmt w:val="decimal"/>
      <w:suff w:val="nothing"/>
      <w:lvlText w:val="%4."/>
      <w:lvlJc w:val="left"/>
      <w:pPr>
        <w:ind w:left="3011"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B5146B0C">
      <w:start w:val="1"/>
      <w:numFmt w:val="lowerLetter"/>
      <w:suff w:val="nothing"/>
      <w:lvlText w:val="%5."/>
      <w:lvlJc w:val="left"/>
      <w:pPr>
        <w:ind w:left="3731"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085C3410">
      <w:start w:val="1"/>
      <w:numFmt w:val="lowerRoman"/>
      <w:lvlText w:val="%6."/>
      <w:lvlJc w:val="left"/>
      <w:pPr>
        <w:ind w:left="4451"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BC28EE72">
      <w:start w:val="1"/>
      <w:numFmt w:val="decimal"/>
      <w:suff w:val="nothing"/>
      <w:lvlText w:val="%7."/>
      <w:lvlJc w:val="left"/>
      <w:pPr>
        <w:ind w:left="5171"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2A6E4D40">
      <w:start w:val="1"/>
      <w:numFmt w:val="lowerLetter"/>
      <w:suff w:val="nothing"/>
      <w:lvlText w:val="%8."/>
      <w:lvlJc w:val="left"/>
      <w:pPr>
        <w:ind w:left="5891"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E08262CA">
      <w:start w:val="1"/>
      <w:numFmt w:val="lowerRoman"/>
      <w:lvlText w:val="%9."/>
      <w:lvlJc w:val="left"/>
      <w:pPr>
        <w:ind w:left="6611"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7901956"/>
    <w:multiLevelType w:val="hybridMultilevel"/>
    <w:tmpl w:val="B03EBF6A"/>
    <w:lvl w:ilvl="0" w:tplc="BEEC12CC">
      <w:start w:val="1"/>
      <w:numFmt w:val="lowerRoman"/>
      <w:lvlText w:val="(%1)"/>
      <w:lvlJc w:val="righ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 w15:restartNumberingAfterBreak="0">
    <w:nsid w:val="182879C7"/>
    <w:multiLevelType w:val="multilevel"/>
    <w:tmpl w:val="89367262"/>
    <w:numStyleLink w:val="OpsommingnummerSURF"/>
  </w:abstractNum>
  <w:abstractNum w:abstractNumId="19" w15:restartNumberingAfterBreak="0">
    <w:nsid w:val="221542E0"/>
    <w:multiLevelType w:val="hybridMultilevel"/>
    <w:tmpl w:val="5B542BEC"/>
    <w:lvl w:ilvl="0" w:tplc="0413000F">
      <w:start w:val="1"/>
      <w:numFmt w:val="decimal"/>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tplc="062AC1A6">
      <w:start w:val="1"/>
      <w:numFmt w:val="bullet"/>
      <w:lvlText w:val="-"/>
      <w:lvlJc w:val="left"/>
      <w:pPr>
        <w:ind w:left="448" w:hanging="360"/>
      </w:pPr>
      <w:rPr>
        <w:rFonts w:ascii="Times New Roman" w:hAnsi="Times New Roman" w:hint="default"/>
      </w:rPr>
    </w:lvl>
    <w:lvl w:ilvl="2" w:tplc="FFFFFFFF">
      <w:start w:val="1"/>
      <w:numFmt w:val="lowerRoman"/>
      <w:lvlText w:val="%3."/>
      <w:lvlJc w:val="left"/>
      <w:pPr>
        <w:ind w:left="1168"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88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260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328"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04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476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5488"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86B41E6"/>
    <w:multiLevelType w:val="hybridMultilevel"/>
    <w:tmpl w:val="C9845B08"/>
    <w:styleLink w:val="ImportedStyle9"/>
    <w:lvl w:ilvl="0" w:tplc="9F8C608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EEBA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38F172">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275C4D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0C36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CC1CC6">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48BE01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FC15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C6D1E4">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D53107F"/>
    <w:multiLevelType w:val="hybridMultilevel"/>
    <w:tmpl w:val="0BBEEF18"/>
    <w:lvl w:ilvl="0" w:tplc="FFFFFFFF">
      <w:start w:val="1"/>
      <w:numFmt w:val="decimal"/>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448" w:hanging="360"/>
      </w:pPr>
      <w:rPr>
        <w:rFonts w:ascii="Times New Roman" w:hAnsi="Times New Roman" w:hint="default"/>
      </w:rPr>
    </w:lvl>
    <w:lvl w:ilvl="2" w:tplc="062AC1A6">
      <w:start w:val="1"/>
      <w:numFmt w:val="bullet"/>
      <w:lvlText w:val="-"/>
      <w:lvlJc w:val="left"/>
      <w:pPr>
        <w:ind w:left="1247" w:hanging="360"/>
      </w:pPr>
      <w:rPr>
        <w:rFonts w:ascii="Times New Roman" w:hAnsi="Times New Roman" w:hint="default"/>
      </w:rPr>
    </w:lvl>
    <w:lvl w:ilvl="3" w:tplc="FFFFFFFF">
      <w:start w:val="1"/>
      <w:numFmt w:val="decimal"/>
      <w:lvlText w:val="%4."/>
      <w:lvlJc w:val="left"/>
      <w:pPr>
        <w:ind w:left="188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260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328"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04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476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5488"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0B24928"/>
    <w:multiLevelType w:val="hybridMultilevel"/>
    <w:tmpl w:val="740C515A"/>
    <w:styleLink w:val="ImportedStyle8"/>
    <w:lvl w:ilvl="0" w:tplc="654A3E10">
      <w:start w:val="1"/>
      <w:numFmt w:val="lowerRoman"/>
      <w:lvlText w:val="(%1)"/>
      <w:lvlJc w:val="left"/>
      <w:pPr>
        <w:ind w:left="851" w:hanging="243"/>
      </w:pPr>
      <w:rPr>
        <w:rFonts w:hAnsi="Arial Unicode MS"/>
        <w:caps w:val="0"/>
        <w:smallCaps w:val="0"/>
        <w:strike w:val="0"/>
        <w:dstrike w:val="0"/>
        <w:outline w:val="0"/>
        <w:emboss w:val="0"/>
        <w:imprint w:val="0"/>
        <w:spacing w:val="0"/>
        <w:w w:val="100"/>
        <w:kern w:val="0"/>
        <w:position w:val="0"/>
        <w:highlight w:val="none"/>
        <w:vertAlign w:val="baseline"/>
      </w:rPr>
    </w:lvl>
    <w:lvl w:ilvl="1" w:tplc="4D7C2582">
      <w:start w:val="1"/>
      <w:numFmt w:val="lowerLetter"/>
      <w:suff w:val="nothing"/>
      <w:lvlText w:val="%2."/>
      <w:lvlJc w:val="left"/>
      <w:pPr>
        <w:ind w:left="1571"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42B0B8CA">
      <w:start w:val="1"/>
      <w:numFmt w:val="lowerRoman"/>
      <w:lvlText w:val="%3."/>
      <w:lvlJc w:val="left"/>
      <w:pPr>
        <w:ind w:left="2291"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B3428DC4">
      <w:start w:val="1"/>
      <w:numFmt w:val="decimal"/>
      <w:suff w:val="nothing"/>
      <w:lvlText w:val="%4."/>
      <w:lvlJc w:val="left"/>
      <w:pPr>
        <w:ind w:left="3011"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F9BE77A6">
      <w:start w:val="1"/>
      <w:numFmt w:val="lowerLetter"/>
      <w:suff w:val="nothing"/>
      <w:lvlText w:val="%5."/>
      <w:lvlJc w:val="left"/>
      <w:pPr>
        <w:ind w:left="3731"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B70CC728">
      <w:start w:val="1"/>
      <w:numFmt w:val="lowerRoman"/>
      <w:lvlText w:val="%6."/>
      <w:lvlJc w:val="left"/>
      <w:pPr>
        <w:ind w:left="4451"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F328CE1E">
      <w:start w:val="1"/>
      <w:numFmt w:val="decimal"/>
      <w:suff w:val="nothing"/>
      <w:lvlText w:val="%7."/>
      <w:lvlJc w:val="left"/>
      <w:pPr>
        <w:ind w:left="5171"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D4FE9844">
      <w:start w:val="1"/>
      <w:numFmt w:val="lowerLetter"/>
      <w:suff w:val="nothing"/>
      <w:lvlText w:val="%8."/>
      <w:lvlJc w:val="left"/>
      <w:pPr>
        <w:ind w:left="5891"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E85E0064">
      <w:start w:val="1"/>
      <w:numFmt w:val="lowerRoman"/>
      <w:lvlText w:val="%9."/>
      <w:lvlJc w:val="left"/>
      <w:pPr>
        <w:ind w:left="6611"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22A2DDB"/>
    <w:multiLevelType w:val="hybridMultilevel"/>
    <w:tmpl w:val="B03EBF6A"/>
    <w:lvl w:ilvl="0" w:tplc="FFFFFFFF">
      <w:start w:val="1"/>
      <w:numFmt w:val="low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22E2AACA"/>
    <w:styleLink w:val="KopnummeringSURF"/>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45C024EE"/>
    <w:multiLevelType w:val="hybridMultilevel"/>
    <w:tmpl w:val="B03EBF6A"/>
    <w:lvl w:ilvl="0" w:tplc="FFFFFFFF">
      <w:start w:val="1"/>
      <w:numFmt w:val="low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B45119"/>
    <w:multiLevelType w:val="hybridMultilevel"/>
    <w:tmpl w:val="B03EBF6A"/>
    <w:lvl w:ilvl="0" w:tplc="FFFFFFFF">
      <w:start w:val="1"/>
      <w:numFmt w:val="low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3" w15:restartNumberingAfterBreak="0">
    <w:nsid w:val="6CAB1E63"/>
    <w:multiLevelType w:val="multilevel"/>
    <w:tmpl w:val="7FB6E594"/>
    <w:numStyleLink w:val="AgendapuntlijstSURF"/>
  </w:abstractNum>
  <w:abstractNum w:abstractNumId="34" w15:restartNumberingAfterBreak="0">
    <w:nsid w:val="6D522A37"/>
    <w:multiLevelType w:val="hybridMultilevel"/>
    <w:tmpl w:val="78469D60"/>
    <w:lvl w:ilvl="0" w:tplc="2000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6E7370EC"/>
    <w:multiLevelType w:val="multilevel"/>
    <w:tmpl w:val="9200769E"/>
    <w:numStyleLink w:val="OpsommingkleineletterSURF"/>
  </w:abstractNum>
  <w:abstractNum w:abstractNumId="36" w15:restartNumberingAfterBreak="0">
    <w:nsid w:val="728E75A4"/>
    <w:multiLevelType w:val="multilevel"/>
    <w:tmpl w:val="AC084EA8"/>
    <w:numStyleLink w:val="OpsommingtekenSURF"/>
  </w:abstractNum>
  <w:abstractNum w:abstractNumId="37" w15:restartNumberingAfterBreak="0">
    <w:nsid w:val="774E2E22"/>
    <w:multiLevelType w:val="multilevel"/>
    <w:tmpl w:val="253845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DB0920"/>
    <w:multiLevelType w:val="hybridMultilevel"/>
    <w:tmpl w:val="92C6474C"/>
    <w:styleLink w:val="ImportedStyle6"/>
    <w:lvl w:ilvl="0" w:tplc="BC1C3644">
      <w:start w:val="1"/>
      <w:numFmt w:val="lowerRoman"/>
      <w:lvlText w:val="(%1)"/>
      <w:lvlJc w:val="left"/>
      <w:pPr>
        <w:ind w:left="851" w:hanging="243"/>
      </w:pPr>
      <w:rPr>
        <w:rFonts w:hAnsi="Arial Unicode MS"/>
        <w:caps w:val="0"/>
        <w:smallCaps w:val="0"/>
        <w:strike w:val="0"/>
        <w:dstrike w:val="0"/>
        <w:outline w:val="0"/>
        <w:emboss w:val="0"/>
        <w:imprint w:val="0"/>
        <w:spacing w:val="0"/>
        <w:w w:val="100"/>
        <w:kern w:val="0"/>
        <w:position w:val="0"/>
        <w:highlight w:val="none"/>
        <w:vertAlign w:val="baseline"/>
      </w:rPr>
    </w:lvl>
    <w:lvl w:ilvl="1" w:tplc="1660AAA6">
      <w:start w:val="1"/>
      <w:numFmt w:val="lowerLetter"/>
      <w:suff w:val="nothing"/>
      <w:lvlText w:val="%2."/>
      <w:lvlJc w:val="left"/>
      <w:pPr>
        <w:ind w:left="1571"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4454BA72">
      <w:start w:val="1"/>
      <w:numFmt w:val="lowerRoman"/>
      <w:lvlText w:val="%3."/>
      <w:lvlJc w:val="left"/>
      <w:pPr>
        <w:ind w:left="2291"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36B426CC">
      <w:start w:val="1"/>
      <w:numFmt w:val="decimal"/>
      <w:suff w:val="nothing"/>
      <w:lvlText w:val="%4."/>
      <w:lvlJc w:val="left"/>
      <w:pPr>
        <w:ind w:left="3011"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EDC2F48E">
      <w:start w:val="1"/>
      <w:numFmt w:val="lowerLetter"/>
      <w:suff w:val="nothing"/>
      <w:lvlText w:val="%5."/>
      <w:lvlJc w:val="left"/>
      <w:pPr>
        <w:ind w:left="3731"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7278C3A4">
      <w:start w:val="1"/>
      <w:numFmt w:val="lowerRoman"/>
      <w:lvlText w:val="%6."/>
      <w:lvlJc w:val="left"/>
      <w:pPr>
        <w:ind w:left="4451"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E77ADCF6">
      <w:start w:val="1"/>
      <w:numFmt w:val="decimal"/>
      <w:suff w:val="nothing"/>
      <w:lvlText w:val="%7."/>
      <w:lvlJc w:val="left"/>
      <w:pPr>
        <w:ind w:left="5171"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5928DE14">
      <w:start w:val="1"/>
      <w:numFmt w:val="lowerLetter"/>
      <w:suff w:val="nothing"/>
      <w:lvlText w:val="%8."/>
      <w:lvlJc w:val="left"/>
      <w:pPr>
        <w:ind w:left="5891"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2AF0ABDA">
      <w:start w:val="1"/>
      <w:numFmt w:val="lowerRoman"/>
      <w:lvlText w:val="%9."/>
      <w:lvlJc w:val="left"/>
      <w:pPr>
        <w:ind w:left="6611"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E4326A9"/>
    <w:multiLevelType w:val="multilevel"/>
    <w:tmpl w:val="22E2AACA"/>
    <w:numStyleLink w:val="KopnummeringSURF"/>
  </w:abstractNum>
  <w:num w:numId="1" w16cid:durableId="910234379">
    <w:abstractNumId w:val="26"/>
  </w:num>
  <w:num w:numId="2" w16cid:durableId="1558079883">
    <w:abstractNumId w:val="30"/>
  </w:num>
  <w:num w:numId="3" w16cid:durableId="1702433449">
    <w:abstractNumId w:val="15"/>
  </w:num>
  <w:num w:numId="4" w16cid:durableId="719943603">
    <w:abstractNumId w:val="14"/>
  </w:num>
  <w:num w:numId="5" w16cid:durableId="886375764">
    <w:abstractNumId w:val="23"/>
  </w:num>
  <w:num w:numId="6" w16cid:durableId="1318193413">
    <w:abstractNumId w:val="27"/>
  </w:num>
  <w:num w:numId="7" w16cid:durableId="155999340">
    <w:abstractNumId w:val="32"/>
  </w:num>
  <w:num w:numId="8" w16cid:durableId="830558470">
    <w:abstractNumId w:val="22"/>
  </w:num>
  <w:num w:numId="9" w16cid:durableId="2142337819">
    <w:abstractNumId w:val="9"/>
  </w:num>
  <w:num w:numId="10" w16cid:durableId="1328631573">
    <w:abstractNumId w:val="7"/>
  </w:num>
  <w:num w:numId="11" w16cid:durableId="873420425">
    <w:abstractNumId w:val="6"/>
  </w:num>
  <w:num w:numId="12" w16cid:durableId="660155421">
    <w:abstractNumId w:val="5"/>
  </w:num>
  <w:num w:numId="13" w16cid:durableId="1032535561">
    <w:abstractNumId w:val="4"/>
  </w:num>
  <w:num w:numId="14" w16cid:durableId="574819189">
    <w:abstractNumId w:val="8"/>
  </w:num>
  <w:num w:numId="15" w16cid:durableId="1035353728">
    <w:abstractNumId w:val="3"/>
  </w:num>
  <w:num w:numId="16" w16cid:durableId="383650322">
    <w:abstractNumId w:val="2"/>
  </w:num>
  <w:num w:numId="17" w16cid:durableId="1422683479">
    <w:abstractNumId w:val="1"/>
  </w:num>
  <w:num w:numId="18" w16cid:durableId="1836993958">
    <w:abstractNumId w:val="0"/>
  </w:num>
  <w:num w:numId="19" w16cid:durableId="903296176">
    <w:abstractNumId w:val="35"/>
  </w:num>
  <w:num w:numId="20" w16cid:durableId="972828719">
    <w:abstractNumId w:val="18"/>
  </w:num>
  <w:num w:numId="21" w16cid:durableId="146481083">
    <w:abstractNumId w:val="29"/>
  </w:num>
  <w:num w:numId="22" w16cid:durableId="1030227797">
    <w:abstractNumId w:val="33"/>
  </w:num>
  <w:num w:numId="23" w16cid:durableId="1346905721">
    <w:abstractNumId w:val="39"/>
  </w:num>
  <w:num w:numId="24" w16cid:durableId="1909029513">
    <w:abstractNumId w:val="13"/>
  </w:num>
  <w:num w:numId="25" w16cid:durableId="1555579757">
    <w:abstractNumId w:val="36"/>
  </w:num>
  <w:num w:numId="26" w16cid:durableId="1121803997">
    <w:abstractNumId w:val="10"/>
  </w:num>
  <w:num w:numId="27" w16cid:durableId="1323197139">
    <w:abstractNumId w:val="19"/>
  </w:num>
  <w:num w:numId="28" w16cid:durableId="2067215796">
    <w:abstractNumId w:val="21"/>
  </w:num>
  <w:num w:numId="29" w16cid:durableId="2118483047">
    <w:abstractNumId w:val="11"/>
  </w:num>
  <w:num w:numId="30" w16cid:durableId="551307501">
    <w:abstractNumId w:val="12"/>
  </w:num>
  <w:num w:numId="31" w16cid:durableId="1774016157">
    <w:abstractNumId w:val="17"/>
  </w:num>
  <w:num w:numId="32" w16cid:durableId="1705253304">
    <w:abstractNumId w:val="28"/>
  </w:num>
  <w:num w:numId="33" w16cid:durableId="1811633837">
    <w:abstractNumId w:val="37"/>
  </w:num>
  <w:num w:numId="34" w16cid:durableId="1209956674">
    <w:abstractNumId w:val="38"/>
  </w:num>
  <w:num w:numId="35" w16cid:durableId="357781109">
    <w:abstractNumId w:val="16"/>
  </w:num>
  <w:num w:numId="36" w16cid:durableId="967474503">
    <w:abstractNumId w:val="24"/>
  </w:num>
  <w:num w:numId="37" w16cid:durableId="1910187442">
    <w:abstractNumId w:val="31"/>
  </w:num>
  <w:num w:numId="38" w16cid:durableId="1753232936">
    <w:abstractNumId w:val="25"/>
  </w:num>
  <w:num w:numId="39" w16cid:durableId="1543011460">
    <w:abstractNumId w:val="20"/>
  </w:num>
  <w:num w:numId="40" w16cid:durableId="964432532">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l-NL" w:vendorID="1" w:dllVersion="512"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18"/>
    <w:rsid w:val="00000E2F"/>
    <w:rsid w:val="00001946"/>
    <w:rsid w:val="00004562"/>
    <w:rsid w:val="00006237"/>
    <w:rsid w:val="0000663D"/>
    <w:rsid w:val="00010D95"/>
    <w:rsid w:val="00011BFA"/>
    <w:rsid w:val="00012581"/>
    <w:rsid w:val="0002562D"/>
    <w:rsid w:val="00031B2D"/>
    <w:rsid w:val="0003377A"/>
    <w:rsid w:val="00035232"/>
    <w:rsid w:val="000418EF"/>
    <w:rsid w:val="00042205"/>
    <w:rsid w:val="0004513F"/>
    <w:rsid w:val="00050D4B"/>
    <w:rsid w:val="0005205D"/>
    <w:rsid w:val="00052426"/>
    <w:rsid w:val="00052FF4"/>
    <w:rsid w:val="00053E43"/>
    <w:rsid w:val="0005430B"/>
    <w:rsid w:val="0005732F"/>
    <w:rsid w:val="00066DF0"/>
    <w:rsid w:val="00074997"/>
    <w:rsid w:val="00074DAC"/>
    <w:rsid w:val="0007714E"/>
    <w:rsid w:val="0008371A"/>
    <w:rsid w:val="00083A7B"/>
    <w:rsid w:val="00091527"/>
    <w:rsid w:val="0009698A"/>
    <w:rsid w:val="000A1B78"/>
    <w:rsid w:val="000A31CD"/>
    <w:rsid w:val="000A6DE6"/>
    <w:rsid w:val="000C0969"/>
    <w:rsid w:val="000C1A1A"/>
    <w:rsid w:val="000C524D"/>
    <w:rsid w:val="000C7889"/>
    <w:rsid w:val="000D4522"/>
    <w:rsid w:val="000D6AB7"/>
    <w:rsid w:val="000D6B9B"/>
    <w:rsid w:val="000E1539"/>
    <w:rsid w:val="000E55A1"/>
    <w:rsid w:val="000E6CD1"/>
    <w:rsid w:val="000E6E43"/>
    <w:rsid w:val="000F213A"/>
    <w:rsid w:val="000F2D93"/>
    <w:rsid w:val="000F650E"/>
    <w:rsid w:val="00100B98"/>
    <w:rsid w:val="00106601"/>
    <w:rsid w:val="00110A9F"/>
    <w:rsid w:val="00115020"/>
    <w:rsid w:val="001170AE"/>
    <w:rsid w:val="00117634"/>
    <w:rsid w:val="00122DED"/>
    <w:rsid w:val="00123D46"/>
    <w:rsid w:val="00132265"/>
    <w:rsid w:val="00134462"/>
    <w:rsid w:val="00134E43"/>
    <w:rsid w:val="00135816"/>
    <w:rsid w:val="00135A2A"/>
    <w:rsid w:val="00135E7B"/>
    <w:rsid w:val="00137CBB"/>
    <w:rsid w:val="00143E16"/>
    <w:rsid w:val="00145B8E"/>
    <w:rsid w:val="0014640F"/>
    <w:rsid w:val="001509C8"/>
    <w:rsid w:val="00152E4D"/>
    <w:rsid w:val="001579D8"/>
    <w:rsid w:val="001639F5"/>
    <w:rsid w:val="001716E9"/>
    <w:rsid w:val="001773DF"/>
    <w:rsid w:val="0018093D"/>
    <w:rsid w:val="00187A59"/>
    <w:rsid w:val="001937EB"/>
    <w:rsid w:val="001A02CF"/>
    <w:rsid w:val="001B1B37"/>
    <w:rsid w:val="001B253D"/>
    <w:rsid w:val="001B4C7E"/>
    <w:rsid w:val="001B6792"/>
    <w:rsid w:val="001C02D6"/>
    <w:rsid w:val="001C11BE"/>
    <w:rsid w:val="001C206E"/>
    <w:rsid w:val="001C6232"/>
    <w:rsid w:val="001C63E7"/>
    <w:rsid w:val="001D0C66"/>
    <w:rsid w:val="001D2384"/>
    <w:rsid w:val="001D2A06"/>
    <w:rsid w:val="001E2293"/>
    <w:rsid w:val="001E34AC"/>
    <w:rsid w:val="001E5F7F"/>
    <w:rsid w:val="001F3116"/>
    <w:rsid w:val="001F5B4F"/>
    <w:rsid w:val="001F5C28"/>
    <w:rsid w:val="001F6547"/>
    <w:rsid w:val="0020548B"/>
    <w:rsid w:val="0020607F"/>
    <w:rsid w:val="00206E2A"/>
    <w:rsid w:val="00206FF8"/>
    <w:rsid w:val="002074B2"/>
    <w:rsid w:val="00211603"/>
    <w:rsid w:val="002116AB"/>
    <w:rsid w:val="00216489"/>
    <w:rsid w:val="00220A9C"/>
    <w:rsid w:val="00225889"/>
    <w:rsid w:val="00230B64"/>
    <w:rsid w:val="00236DE9"/>
    <w:rsid w:val="00242226"/>
    <w:rsid w:val="0024430D"/>
    <w:rsid w:val="00245CC4"/>
    <w:rsid w:val="00246809"/>
    <w:rsid w:val="002518D2"/>
    <w:rsid w:val="00252475"/>
    <w:rsid w:val="00252B9A"/>
    <w:rsid w:val="00254088"/>
    <w:rsid w:val="00256039"/>
    <w:rsid w:val="00257AA9"/>
    <w:rsid w:val="00261108"/>
    <w:rsid w:val="00262D4E"/>
    <w:rsid w:val="002646C8"/>
    <w:rsid w:val="00280D1D"/>
    <w:rsid w:val="00282B5D"/>
    <w:rsid w:val="00283592"/>
    <w:rsid w:val="00286914"/>
    <w:rsid w:val="00294CD2"/>
    <w:rsid w:val="00295A7A"/>
    <w:rsid w:val="002A2E44"/>
    <w:rsid w:val="002B08A4"/>
    <w:rsid w:val="002B0F6F"/>
    <w:rsid w:val="002B1908"/>
    <w:rsid w:val="002B2998"/>
    <w:rsid w:val="002B2C0E"/>
    <w:rsid w:val="002B64EE"/>
    <w:rsid w:val="002C46FB"/>
    <w:rsid w:val="002D0E88"/>
    <w:rsid w:val="002D12C0"/>
    <w:rsid w:val="002D2068"/>
    <w:rsid w:val="002D52B2"/>
    <w:rsid w:val="002E2611"/>
    <w:rsid w:val="002E274E"/>
    <w:rsid w:val="002E3945"/>
    <w:rsid w:val="002E68CD"/>
    <w:rsid w:val="002F0AC4"/>
    <w:rsid w:val="002F678C"/>
    <w:rsid w:val="002F7B77"/>
    <w:rsid w:val="003063C0"/>
    <w:rsid w:val="00312D26"/>
    <w:rsid w:val="00317DEA"/>
    <w:rsid w:val="00322A9F"/>
    <w:rsid w:val="00323121"/>
    <w:rsid w:val="00326191"/>
    <w:rsid w:val="003320FE"/>
    <w:rsid w:val="00333867"/>
    <w:rsid w:val="00334D4B"/>
    <w:rsid w:val="00335B5E"/>
    <w:rsid w:val="00337DDE"/>
    <w:rsid w:val="0034484B"/>
    <w:rsid w:val="00345315"/>
    <w:rsid w:val="00346631"/>
    <w:rsid w:val="00347094"/>
    <w:rsid w:val="00353A77"/>
    <w:rsid w:val="0036336D"/>
    <w:rsid w:val="00364B2C"/>
    <w:rsid w:val="00364E1D"/>
    <w:rsid w:val="00365254"/>
    <w:rsid w:val="00365327"/>
    <w:rsid w:val="00365AD9"/>
    <w:rsid w:val="00374C23"/>
    <w:rsid w:val="00374D9A"/>
    <w:rsid w:val="00377612"/>
    <w:rsid w:val="00382603"/>
    <w:rsid w:val="00383954"/>
    <w:rsid w:val="0038737B"/>
    <w:rsid w:val="0039126D"/>
    <w:rsid w:val="003964D4"/>
    <w:rsid w:val="0039656A"/>
    <w:rsid w:val="003A18A2"/>
    <w:rsid w:val="003A22F9"/>
    <w:rsid w:val="003A5ED3"/>
    <w:rsid w:val="003A6677"/>
    <w:rsid w:val="003B14A0"/>
    <w:rsid w:val="003B595E"/>
    <w:rsid w:val="003C0839"/>
    <w:rsid w:val="003D04B7"/>
    <w:rsid w:val="003D09E4"/>
    <w:rsid w:val="003D414A"/>
    <w:rsid w:val="003D49E5"/>
    <w:rsid w:val="003E30F2"/>
    <w:rsid w:val="003E3B7D"/>
    <w:rsid w:val="003E766F"/>
    <w:rsid w:val="003F0A35"/>
    <w:rsid w:val="003F2747"/>
    <w:rsid w:val="003F2C33"/>
    <w:rsid w:val="003F768C"/>
    <w:rsid w:val="004001AF"/>
    <w:rsid w:val="00402254"/>
    <w:rsid w:val="00406656"/>
    <w:rsid w:val="00410612"/>
    <w:rsid w:val="00410F28"/>
    <w:rsid w:val="00411CCF"/>
    <w:rsid w:val="0041674F"/>
    <w:rsid w:val="004172A2"/>
    <w:rsid w:val="0042594D"/>
    <w:rsid w:val="00431CB5"/>
    <w:rsid w:val="00441382"/>
    <w:rsid w:val="00442519"/>
    <w:rsid w:val="00445ED9"/>
    <w:rsid w:val="00450B00"/>
    <w:rsid w:val="00451FDB"/>
    <w:rsid w:val="004564A6"/>
    <w:rsid w:val="00460433"/>
    <w:rsid w:val="004656F6"/>
    <w:rsid w:val="004659D3"/>
    <w:rsid w:val="00466D71"/>
    <w:rsid w:val="00471C0F"/>
    <w:rsid w:val="00472E5E"/>
    <w:rsid w:val="004733C3"/>
    <w:rsid w:val="0047392D"/>
    <w:rsid w:val="0047518D"/>
    <w:rsid w:val="004804E1"/>
    <w:rsid w:val="00484C58"/>
    <w:rsid w:val="00484C8E"/>
    <w:rsid w:val="00486319"/>
    <w:rsid w:val="00487543"/>
    <w:rsid w:val="004875E2"/>
    <w:rsid w:val="00487C7F"/>
    <w:rsid w:val="00490BBD"/>
    <w:rsid w:val="00494E87"/>
    <w:rsid w:val="00495327"/>
    <w:rsid w:val="004A39AF"/>
    <w:rsid w:val="004B1D8D"/>
    <w:rsid w:val="004B2C90"/>
    <w:rsid w:val="004B3E5B"/>
    <w:rsid w:val="004B4BE9"/>
    <w:rsid w:val="004B65CF"/>
    <w:rsid w:val="004C0618"/>
    <w:rsid w:val="004C51F8"/>
    <w:rsid w:val="004D2412"/>
    <w:rsid w:val="004E03FE"/>
    <w:rsid w:val="004E55B7"/>
    <w:rsid w:val="004F4A4D"/>
    <w:rsid w:val="004F6A99"/>
    <w:rsid w:val="004F6CC0"/>
    <w:rsid w:val="005017F3"/>
    <w:rsid w:val="00501A64"/>
    <w:rsid w:val="00503BFD"/>
    <w:rsid w:val="005043E5"/>
    <w:rsid w:val="00513D36"/>
    <w:rsid w:val="0051518F"/>
    <w:rsid w:val="005153F8"/>
    <w:rsid w:val="00515A3F"/>
    <w:rsid w:val="00515E2F"/>
    <w:rsid w:val="00521726"/>
    <w:rsid w:val="00526530"/>
    <w:rsid w:val="00531DDC"/>
    <w:rsid w:val="005327FA"/>
    <w:rsid w:val="0053645C"/>
    <w:rsid w:val="00541922"/>
    <w:rsid w:val="00544572"/>
    <w:rsid w:val="00545244"/>
    <w:rsid w:val="00551822"/>
    <w:rsid w:val="00553801"/>
    <w:rsid w:val="005615BE"/>
    <w:rsid w:val="00562E3D"/>
    <w:rsid w:val="00575FFC"/>
    <w:rsid w:val="005818B8"/>
    <w:rsid w:val="00586339"/>
    <w:rsid w:val="0059027A"/>
    <w:rsid w:val="00594BA3"/>
    <w:rsid w:val="005A1BD7"/>
    <w:rsid w:val="005A2BEC"/>
    <w:rsid w:val="005B2968"/>
    <w:rsid w:val="005B4FAF"/>
    <w:rsid w:val="005B745B"/>
    <w:rsid w:val="005C3D2E"/>
    <w:rsid w:val="005C5603"/>
    <w:rsid w:val="005C6668"/>
    <w:rsid w:val="005D2FBC"/>
    <w:rsid w:val="005D4151"/>
    <w:rsid w:val="005D5E21"/>
    <w:rsid w:val="005D5FAC"/>
    <w:rsid w:val="005E3E58"/>
    <w:rsid w:val="005E792A"/>
    <w:rsid w:val="005F0506"/>
    <w:rsid w:val="005F1AE8"/>
    <w:rsid w:val="005F1E97"/>
    <w:rsid w:val="0060071A"/>
    <w:rsid w:val="00603338"/>
    <w:rsid w:val="006040DB"/>
    <w:rsid w:val="00606D41"/>
    <w:rsid w:val="00610FF8"/>
    <w:rsid w:val="00612C22"/>
    <w:rsid w:val="00624485"/>
    <w:rsid w:val="00625275"/>
    <w:rsid w:val="00625CAE"/>
    <w:rsid w:val="00631829"/>
    <w:rsid w:val="00641E45"/>
    <w:rsid w:val="00645AE7"/>
    <w:rsid w:val="00647A67"/>
    <w:rsid w:val="00652E24"/>
    <w:rsid w:val="00653D01"/>
    <w:rsid w:val="006573DE"/>
    <w:rsid w:val="00664EE1"/>
    <w:rsid w:val="006654CA"/>
    <w:rsid w:val="006662ED"/>
    <w:rsid w:val="00673F07"/>
    <w:rsid w:val="006756D9"/>
    <w:rsid w:val="006767B2"/>
    <w:rsid w:val="00684989"/>
    <w:rsid w:val="00685EED"/>
    <w:rsid w:val="00686092"/>
    <w:rsid w:val="0068750D"/>
    <w:rsid w:val="006953A2"/>
    <w:rsid w:val="006B3ED5"/>
    <w:rsid w:val="006B6044"/>
    <w:rsid w:val="006C6A9D"/>
    <w:rsid w:val="006D1154"/>
    <w:rsid w:val="006D2ECD"/>
    <w:rsid w:val="006D7D56"/>
    <w:rsid w:val="006F131C"/>
    <w:rsid w:val="006F3236"/>
    <w:rsid w:val="00703BD3"/>
    <w:rsid w:val="00704C28"/>
    <w:rsid w:val="00705849"/>
    <w:rsid w:val="00706308"/>
    <w:rsid w:val="00712665"/>
    <w:rsid w:val="0071359B"/>
    <w:rsid w:val="0071386B"/>
    <w:rsid w:val="0072059D"/>
    <w:rsid w:val="00721E1B"/>
    <w:rsid w:val="0072479C"/>
    <w:rsid w:val="00731A90"/>
    <w:rsid w:val="0073233B"/>
    <w:rsid w:val="007358BA"/>
    <w:rsid w:val="007361EE"/>
    <w:rsid w:val="00742665"/>
    <w:rsid w:val="00743326"/>
    <w:rsid w:val="00750733"/>
    <w:rsid w:val="00750780"/>
    <w:rsid w:val="007525D1"/>
    <w:rsid w:val="00752725"/>
    <w:rsid w:val="007528A0"/>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39A2"/>
    <w:rsid w:val="007A6DC7"/>
    <w:rsid w:val="007B0C68"/>
    <w:rsid w:val="007B3114"/>
    <w:rsid w:val="007B5373"/>
    <w:rsid w:val="007C0010"/>
    <w:rsid w:val="007C037C"/>
    <w:rsid w:val="007C51EB"/>
    <w:rsid w:val="007C6838"/>
    <w:rsid w:val="007D4A7D"/>
    <w:rsid w:val="007D4DCE"/>
    <w:rsid w:val="007E22EC"/>
    <w:rsid w:val="007E7724"/>
    <w:rsid w:val="007F0A2A"/>
    <w:rsid w:val="007F1417"/>
    <w:rsid w:val="007F1C2F"/>
    <w:rsid w:val="007F48F0"/>
    <w:rsid w:val="007F653F"/>
    <w:rsid w:val="00801A17"/>
    <w:rsid w:val="008064EE"/>
    <w:rsid w:val="00806FBA"/>
    <w:rsid w:val="00807EDB"/>
    <w:rsid w:val="00810585"/>
    <w:rsid w:val="008132A9"/>
    <w:rsid w:val="00822167"/>
    <w:rsid w:val="008222EE"/>
    <w:rsid w:val="00823AC1"/>
    <w:rsid w:val="00826EA4"/>
    <w:rsid w:val="00832239"/>
    <w:rsid w:val="008372D1"/>
    <w:rsid w:val="00843B35"/>
    <w:rsid w:val="00854B34"/>
    <w:rsid w:val="0086137E"/>
    <w:rsid w:val="0086291D"/>
    <w:rsid w:val="00862C09"/>
    <w:rsid w:val="008664DD"/>
    <w:rsid w:val="008736AE"/>
    <w:rsid w:val="008773F7"/>
    <w:rsid w:val="008775D3"/>
    <w:rsid w:val="00877BD5"/>
    <w:rsid w:val="008802D3"/>
    <w:rsid w:val="00886BB9"/>
    <w:rsid w:val="008870F0"/>
    <w:rsid w:val="00892CAC"/>
    <w:rsid w:val="008931CF"/>
    <w:rsid w:val="00893934"/>
    <w:rsid w:val="008A2A1D"/>
    <w:rsid w:val="008A5E5E"/>
    <w:rsid w:val="008B5CD1"/>
    <w:rsid w:val="008C2F90"/>
    <w:rsid w:val="008C5834"/>
    <w:rsid w:val="008C6251"/>
    <w:rsid w:val="008D7BDD"/>
    <w:rsid w:val="008E335E"/>
    <w:rsid w:val="0090254C"/>
    <w:rsid w:val="0090724E"/>
    <w:rsid w:val="00907888"/>
    <w:rsid w:val="00910D57"/>
    <w:rsid w:val="00917C41"/>
    <w:rsid w:val="009221AC"/>
    <w:rsid w:val="009225D7"/>
    <w:rsid w:val="009261FD"/>
    <w:rsid w:val="00934750"/>
    <w:rsid w:val="00934E30"/>
    <w:rsid w:val="00935271"/>
    <w:rsid w:val="0094266B"/>
    <w:rsid w:val="00943209"/>
    <w:rsid w:val="00944E5D"/>
    <w:rsid w:val="0094509D"/>
    <w:rsid w:val="00945318"/>
    <w:rsid w:val="0094773B"/>
    <w:rsid w:val="00950DB4"/>
    <w:rsid w:val="00952A7F"/>
    <w:rsid w:val="009534C6"/>
    <w:rsid w:val="00955BF7"/>
    <w:rsid w:val="00957CCB"/>
    <w:rsid w:val="009606EB"/>
    <w:rsid w:val="00963973"/>
    <w:rsid w:val="00963F54"/>
    <w:rsid w:val="00971786"/>
    <w:rsid w:val="00971B3B"/>
    <w:rsid w:val="00994BDE"/>
    <w:rsid w:val="009A27B8"/>
    <w:rsid w:val="009A6646"/>
    <w:rsid w:val="009B386D"/>
    <w:rsid w:val="009B58B6"/>
    <w:rsid w:val="009C1976"/>
    <w:rsid w:val="009C2F9E"/>
    <w:rsid w:val="009D11C3"/>
    <w:rsid w:val="009D5AE2"/>
    <w:rsid w:val="009D6EB5"/>
    <w:rsid w:val="009F10CC"/>
    <w:rsid w:val="00A01CAD"/>
    <w:rsid w:val="00A07FEF"/>
    <w:rsid w:val="00A1497C"/>
    <w:rsid w:val="00A21956"/>
    <w:rsid w:val="00A268DC"/>
    <w:rsid w:val="00A414D9"/>
    <w:rsid w:val="00A41876"/>
    <w:rsid w:val="00A42EEC"/>
    <w:rsid w:val="00A50406"/>
    <w:rsid w:val="00A50767"/>
    <w:rsid w:val="00A50801"/>
    <w:rsid w:val="00A518A0"/>
    <w:rsid w:val="00A57593"/>
    <w:rsid w:val="00A60A58"/>
    <w:rsid w:val="00A615AB"/>
    <w:rsid w:val="00A61B21"/>
    <w:rsid w:val="00A65B09"/>
    <w:rsid w:val="00A670BB"/>
    <w:rsid w:val="00A71291"/>
    <w:rsid w:val="00A76E7C"/>
    <w:rsid w:val="00A871D6"/>
    <w:rsid w:val="00A95788"/>
    <w:rsid w:val="00AA1A5C"/>
    <w:rsid w:val="00AA2F6F"/>
    <w:rsid w:val="00AA4136"/>
    <w:rsid w:val="00AA5D00"/>
    <w:rsid w:val="00AB0414"/>
    <w:rsid w:val="00AB0D90"/>
    <w:rsid w:val="00AB1E21"/>
    <w:rsid w:val="00AB1E30"/>
    <w:rsid w:val="00AB2477"/>
    <w:rsid w:val="00AB56F0"/>
    <w:rsid w:val="00AB5DBD"/>
    <w:rsid w:val="00AB5F0C"/>
    <w:rsid w:val="00AB77BB"/>
    <w:rsid w:val="00AC273E"/>
    <w:rsid w:val="00AD24E6"/>
    <w:rsid w:val="00AD31A0"/>
    <w:rsid w:val="00AD3251"/>
    <w:rsid w:val="00AD44F1"/>
    <w:rsid w:val="00AD4DF7"/>
    <w:rsid w:val="00AE0183"/>
    <w:rsid w:val="00AE1307"/>
    <w:rsid w:val="00AE2110"/>
    <w:rsid w:val="00AE2EB1"/>
    <w:rsid w:val="00AE783C"/>
    <w:rsid w:val="00AF6ED8"/>
    <w:rsid w:val="00AF7ADB"/>
    <w:rsid w:val="00B01892"/>
    <w:rsid w:val="00B01DA1"/>
    <w:rsid w:val="00B11A76"/>
    <w:rsid w:val="00B13148"/>
    <w:rsid w:val="00B17034"/>
    <w:rsid w:val="00B22610"/>
    <w:rsid w:val="00B233E3"/>
    <w:rsid w:val="00B30352"/>
    <w:rsid w:val="00B30C6C"/>
    <w:rsid w:val="00B346DF"/>
    <w:rsid w:val="00B40BF5"/>
    <w:rsid w:val="00B460C2"/>
    <w:rsid w:val="00B47460"/>
    <w:rsid w:val="00B63EB9"/>
    <w:rsid w:val="00B75ED8"/>
    <w:rsid w:val="00B77809"/>
    <w:rsid w:val="00B83B98"/>
    <w:rsid w:val="00B847C9"/>
    <w:rsid w:val="00B860DC"/>
    <w:rsid w:val="00B914FE"/>
    <w:rsid w:val="00B949B9"/>
    <w:rsid w:val="00B9540B"/>
    <w:rsid w:val="00BA22CA"/>
    <w:rsid w:val="00BA3794"/>
    <w:rsid w:val="00BA3F4D"/>
    <w:rsid w:val="00BA797E"/>
    <w:rsid w:val="00BA79E3"/>
    <w:rsid w:val="00BB0735"/>
    <w:rsid w:val="00BB1FC1"/>
    <w:rsid w:val="00BB239A"/>
    <w:rsid w:val="00BB31CE"/>
    <w:rsid w:val="00BB69BF"/>
    <w:rsid w:val="00BC0188"/>
    <w:rsid w:val="00BC4302"/>
    <w:rsid w:val="00BC6687"/>
    <w:rsid w:val="00BC6FB7"/>
    <w:rsid w:val="00BD72D6"/>
    <w:rsid w:val="00BE55A7"/>
    <w:rsid w:val="00BE64B3"/>
    <w:rsid w:val="00BF6A7B"/>
    <w:rsid w:val="00BF6B3C"/>
    <w:rsid w:val="00C0260C"/>
    <w:rsid w:val="00C06D9A"/>
    <w:rsid w:val="00C0702B"/>
    <w:rsid w:val="00C11B08"/>
    <w:rsid w:val="00C12133"/>
    <w:rsid w:val="00C12A81"/>
    <w:rsid w:val="00C17A25"/>
    <w:rsid w:val="00C201EB"/>
    <w:rsid w:val="00C23344"/>
    <w:rsid w:val="00C33308"/>
    <w:rsid w:val="00C346C9"/>
    <w:rsid w:val="00C36760"/>
    <w:rsid w:val="00C4003A"/>
    <w:rsid w:val="00C41422"/>
    <w:rsid w:val="00C421DA"/>
    <w:rsid w:val="00C50828"/>
    <w:rsid w:val="00C51137"/>
    <w:rsid w:val="00C54988"/>
    <w:rsid w:val="00C6206C"/>
    <w:rsid w:val="00C64BA5"/>
    <w:rsid w:val="00C70827"/>
    <w:rsid w:val="00C72882"/>
    <w:rsid w:val="00C72D11"/>
    <w:rsid w:val="00C81733"/>
    <w:rsid w:val="00C85508"/>
    <w:rsid w:val="00C85FA2"/>
    <w:rsid w:val="00C8612C"/>
    <w:rsid w:val="00C863AE"/>
    <w:rsid w:val="00C87372"/>
    <w:rsid w:val="00C92E08"/>
    <w:rsid w:val="00C93473"/>
    <w:rsid w:val="00C93C95"/>
    <w:rsid w:val="00C946CB"/>
    <w:rsid w:val="00C971C1"/>
    <w:rsid w:val="00CA1FE3"/>
    <w:rsid w:val="00CA2E79"/>
    <w:rsid w:val="00CA332D"/>
    <w:rsid w:val="00CB254D"/>
    <w:rsid w:val="00CB3533"/>
    <w:rsid w:val="00CB7600"/>
    <w:rsid w:val="00CB7D61"/>
    <w:rsid w:val="00CB7E33"/>
    <w:rsid w:val="00CC6A4B"/>
    <w:rsid w:val="00CD7A5A"/>
    <w:rsid w:val="00CD7AAF"/>
    <w:rsid w:val="00CE1C77"/>
    <w:rsid w:val="00CE2BA6"/>
    <w:rsid w:val="00CE564D"/>
    <w:rsid w:val="00CF276E"/>
    <w:rsid w:val="00CF2B0C"/>
    <w:rsid w:val="00CF529F"/>
    <w:rsid w:val="00CF5EB5"/>
    <w:rsid w:val="00D016A6"/>
    <w:rsid w:val="00D023A0"/>
    <w:rsid w:val="00D03F2F"/>
    <w:rsid w:val="00D05779"/>
    <w:rsid w:val="00D16E87"/>
    <w:rsid w:val="00D25AA0"/>
    <w:rsid w:val="00D27D0E"/>
    <w:rsid w:val="00D35DA7"/>
    <w:rsid w:val="00D46372"/>
    <w:rsid w:val="00D47AD0"/>
    <w:rsid w:val="00D516EA"/>
    <w:rsid w:val="00D517F6"/>
    <w:rsid w:val="00D57A57"/>
    <w:rsid w:val="00D613A9"/>
    <w:rsid w:val="00D6365C"/>
    <w:rsid w:val="00D658D3"/>
    <w:rsid w:val="00D6679B"/>
    <w:rsid w:val="00D66D93"/>
    <w:rsid w:val="00D7238E"/>
    <w:rsid w:val="00D73003"/>
    <w:rsid w:val="00D73C03"/>
    <w:rsid w:val="00D81A72"/>
    <w:rsid w:val="00D92EDA"/>
    <w:rsid w:val="00D9359B"/>
    <w:rsid w:val="00D94B0E"/>
    <w:rsid w:val="00D972DF"/>
    <w:rsid w:val="00DA0751"/>
    <w:rsid w:val="00DA13FE"/>
    <w:rsid w:val="00DA2953"/>
    <w:rsid w:val="00DA5661"/>
    <w:rsid w:val="00DA6E07"/>
    <w:rsid w:val="00DA7584"/>
    <w:rsid w:val="00DA7A62"/>
    <w:rsid w:val="00DB0413"/>
    <w:rsid w:val="00DB0F15"/>
    <w:rsid w:val="00DB3292"/>
    <w:rsid w:val="00DB5D87"/>
    <w:rsid w:val="00DC2F99"/>
    <w:rsid w:val="00DC3B21"/>
    <w:rsid w:val="00DC489D"/>
    <w:rsid w:val="00DC6A0D"/>
    <w:rsid w:val="00DD140B"/>
    <w:rsid w:val="00DD2123"/>
    <w:rsid w:val="00DD2A9E"/>
    <w:rsid w:val="00DD509E"/>
    <w:rsid w:val="00DE14C5"/>
    <w:rsid w:val="00DE2331"/>
    <w:rsid w:val="00DE293A"/>
    <w:rsid w:val="00DE2FD1"/>
    <w:rsid w:val="00DE5080"/>
    <w:rsid w:val="00DE5157"/>
    <w:rsid w:val="00DF1BBC"/>
    <w:rsid w:val="00DF2FFF"/>
    <w:rsid w:val="00DF6CAA"/>
    <w:rsid w:val="00E04FA6"/>
    <w:rsid w:val="00E05BA5"/>
    <w:rsid w:val="00E07762"/>
    <w:rsid w:val="00E101E7"/>
    <w:rsid w:val="00E11DF6"/>
    <w:rsid w:val="00E1215F"/>
    <w:rsid w:val="00E12CAA"/>
    <w:rsid w:val="00E1650C"/>
    <w:rsid w:val="00E239D8"/>
    <w:rsid w:val="00E25D04"/>
    <w:rsid w:val="00E318F2"/>
    <w:rsid w:val="00E334B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59A5"/>
    <w:rsid w:val="00E76843"/>
    <w:rsid w:val="00E85C96"/>
    <w:rsid w:val="00E87FB4"/>
    <w:rsid w:val="00E93FCF"/>
    <w:rsid w:val="00E96BF0"/>
    <w:rsid w:val="00E9778E"/>
    <w:rsid w:val="00EB65D4"/>
    <w:rsid w:val="00EB7C66"/>
    <w:rsid w:val="00EC42E3"/>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0CE5"/>
    <w:rsid w:val="00F519B9"/>
    <w:rsid w:val="00F55E8B"/>
    <w:rsid w:val="00F564F9"/>
    <w:rsid w:val="00F669BA"/>
    <w:rsid w:val="00F7766C"/>
    <w:rsid w:val="00F82076"/>
    <w:rsid w:val="00F84DBF"/>
    <w:rsid w:val="00F94FCC"/>
    <w:rsid w:val="00FA1C80"/>
    <w:rsid w:val="00FA269F"/>
    <w:rsid w:val="00FB1F52"/>
    <w:rsid w:val="00FB21F7"/>
    <w:rsid w:val="00FB22AF"/>
    <w:rsid w:val="00FB2AAE"/>
    <w:rsid w:val="00FB52EE"/>
    <w:rsid w:val="00FB7F9C"/>
    <w:rsid w:val="00FC25E1"/>
    <w:rsid w:val="00FC3FA5"/>
    <w:rsid w:val="00FC6260"/>
    <w:rsid w:val="00FC6F62"/>
    <w:rsid w:val="00FD2C03"/>
    <w:rsid w:val="00FD4E44"/>
    <w:rsid w:val="00FD63B3"/>
    <w:rsid w:val="00FE119B"/>
    <w:rsid w:val="00FE1BFD"/>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23E8549C"/>
  <w15:chartTrackingRefBased/>
  <w15:docId w15:val="{BAF34F02-F780-4B8A-AA47-1127A696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line="240" w:lineRule="atLeast"/>
      </w:pPr>
    </w:pPrDefault>
  </w:docDefaults>
  <w:latentStyles w:defLockedState="0" w:defUIPriority="98"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SURF"/>
    <w:qFormat/>
    <w:rsid w:val="004C0618"/>
    <w:pPr>
      <w:pBdr>
        <w:top w:val="nil"/>
        <w:left w:val="nil"/>
        <w:bottom w:val="nil"/>
        <w:right w:val="nil"/>
        <w:between w:val="nil"/>
        <w:bar w:val="nil"/>
      </w:pBdr>
      <w:spacing w:line="240" w:lineRule="auto"/>
    </w:pPr>
    <w:rPr>
      <w:rFonts w:asciiTheme="minorHAnsi" w:eastAsia="Arial Unicode MS" w:hAnsiTheme="minorHAnsi"/>
      <w:kern w:val="0"/>
      <w:szCs w:val="24"/>
      <w:bdr w:val="nil"/>
      <w:lang w:val="en-US" w:eastAsia="en-US"/>
      <w14:ligatures w14:val="none"/>
    </w:rPr>
  </w:style>
  <w:style w:type="paragraph" w:styleId="Kop1">
    <w:name w:val="heading 1"/>
    <w:aliases w:val="Kop 1 SURF"/>
    <w:basedOn w:val="Standaard"/>
    <w:next w:val="BasistekstSURF"/>
    <w:uiPriority w:val="4"/>
    <w:qFormat/>
    <w:rsid w:val="004C061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outlineLvl w:val="0"/>
    </w:pPr>
    <w:rPr>
      <w:b/>
      <w:bCs/>
      <w:lang w:val="en-GB"/>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9D6EB5"/>
    <w:pPr>
      <w:spacing w:line="276" w:lineRule="auto"/>
    </w:pPr>
    <w:rPr>
      <w:sz w:val="20"/>
      <w:szCs w:val="20"/>
    </w:rPr>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kern w:val="0"/>
      <w:sz w:val="22"/>
      <w:szCs w:val="18"/>
      <w14:ligatures w14:val="none"/>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4"/>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Standaard"/>
    <w:uiPriority w:val="4"/>
    <w:qFormat/>
    <w:rsid w:val="00C0260C"/>
    <w:pPr>
      <w:spacing w:before="240" w:line="276" w:lineRule="auto"/>
      <w:ind w:left="426" w:hanging="426"/>
    </w:pPr>
    <w:rPr>
      <w:szCs w:val="16"/>
      <w:lang w:val="en-GB"/>
    </w:r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4"/>
    <w:rsid w:val="00822167"/>
    <w:pPr>
      <w:spacing w:before="220" w:after="260" w:line="320" w:lineRule="exact"/>
    </w:pPr>
    <w:rPr>
      <w:b/>
      <w:sz w:val="26"/>
    </w:rPr>
  </w:style>
  <w:style w:type="paragraph" w:styleId="Inhopg2">
    <w:name w:val="toc 2"/>
    <w:aliases w:val="Inhopg 2 SURF"/>
    <w:basedOn w:val="ZsysbasistocSURF"/>
    <w:next w:val="BasistekstSURF"/>
    <w:uiPriority w:val="4"/>
    <w:rsid w:val="00822167"/>
    <w:pPr>
      <w:ind w:left="850" w:hanging="510"/>
    </w:pPr>
    <w:rPr>
      <w:b/>
    </w:rPr>
  </w:style>
  <w:style w:type="paragraph" w:styleId="Inhopg3">
    <w:name w:val="toc 3"/>
    <w:aliases w:val="Inhopg 3 SURF"/>
    <w:basedOn w:val="ZsysbasistocSURF"/>
    <w:next w:val="BasistekstSURF"/>
    <w:uiPriority w:val="4"/>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Kop2zondernummerSURF"/>
    <w:next w:val="BasistekstSURF"/>
    <w:uiPriority w:val="4"/>
    <w:qFormat/>
    <w:rsid w:val="00411CCF"/>
    <w:rPr>
      <w:rFonts w:eastAsia="Arial Unicode MS"/>
      <w:sz w:val="20"/>
      <w:szCs w:val="20"/>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4"/>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4"/>
    <w:rsid w:val="00CE1C77"/>
    <w:pPr>
      <w:ind w:firstLine="0"/>
    </w:pPr>
    <w:rPr>
      <w:b/>
    </w:rPr>
  </w:style>
  <w:style w:type="paragraph" w:styleId="Inhopg7">
    <w:name w:val="toc 7"/>
    <w:aliases w:val="Inhopg 7 SURF"/>
    <w:basedOn w:val="ZsysbasistocSURF"/>
    <w:next w:val="BasistekstSURF"/>
    <w:uiPriority w:val="4"/>
    <w:rsid w:val="00CE1C77"/>
    <w:pPr>
      <w:ind w:left="851" w:firstLine="0"/>
    </w:pPr>
    <w:rPr>
      <w:i/>
    </w:rPr>
  </w:style>
  <w:style w:type="paragraph" w:styleId="Inhopg8">
    <w:name w:val="toc 8"/>
    <w:aliases w:val="Inhopg 8 SURF"/>
    <w:basedOn w:val="ZsysbasistocSURF"/>
    <w:next w:val="BasistekstSURF"/>
    <w:uiPriority w:val="4"/>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4"/>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1C206E"/>
    <w:pPr>
      <w:numPr>
        <w:numId w:val="25"/>
      </w:numPr>
      <w:spacing w:line="240" w:lineRule="exact"/>
    </w:pPr>
  </w:style>
  <w:style w:type="paragraph" w:customStyle="1" w:styleId="Opsommingteken2eniveauSURF">
    <w:name w:val="Opsomming teken 2e niveau SURF"/>
    <w:basedOn w:val="ZsysbasisSURF"/>
    <w:uiPriority w:val="4"/>
    <w:rsid w:val="001C206E"/>
    <w:pPr>
      <w:numPr>
        <w:ilvl w:val="1"/>
        <w:numId w:val="25"/>
      </w:numPr>
      <w:spacing w:line="240" w:lineRule="exact"/>
    </w:pPr>
  </w:style>
  <w:style w:type="paragraph" w:customStyle="1" w:styleId="Opsommingteken3eniveauSURF">
    <w:name w:val="Opsomming teken 3e niveau SURF"/>
    <w:basedOn w:val="ZsysbasisSURF"/>
    <w:uiPriority w:val="4"/>
    <w:rsid w:val="001C206E"/>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1C206E"/>
    <w:pPr>
      <w:numPr>
        <w:numId w:val="19"/>
      </w:numPr>
      <w:spacing w:line="240" w:lineRule="exact"/>
    </w:pPr>
  </w:style>
  <w:style w:type="paragraph" w:customStyle="1" w:styleId="Opsommingkleineletter2eniveauSURF">
    <w:name w:val="Opsomming kleine letter 2e niveau SURF"/>
    <w:basedOn w:val="ZsysbasisSURF"/>
    <w:uiPriority w:val="4"/>
    <w:qFormat/>
    <w:rsid w:val="001C206E"/>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1C206E"/>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1C206E"/>
    <w:pPr>
      <w:numPr>
        <w:numId w:val="20"/>
      </w:numPr>
      <w:spacing w:line="240" w:lineRule="exact"/>
    </w:pPr>
  </w:style>
  <w:style w:type="paragraph" w:customStyle="1" w:styleId="Opsommingnummer2eniveauSURF">
    <w:name w:val="Opsomming nummer 2e niveau SURF"/>
    <w:basedOn w:val="ZsysbasisSURF"/>
    <w:uiPriority w:val="4"/>
    <w:qFormat/>
    <w:rsid w:val="001C206E"/>
    <w:pPr>
      <w:numPr>
        <w:ilvl w:val="1"/>
        <w:numId w:val="20"/>
      </w:numPr>
      <w:spacing w:line="240" w:lineRule="exact"/>
    </w:pPr>
  </w:style>
  <w:style w:type="paragraph" w:customStyle="1" w:styleId="Opsommingnummer3eniveauSURF">
    <w:name w:val="Opsomming nummer 3e niveau SURF"/>
    <w:basedOn w:val="ZsysbasisSURF"/>
    <w:uiPriority w:val="4"/>
    <w:qFormat/>
    <w:rsid w:val="001C206E"/>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4C0618"/>
    <w:pPr>
      <w:keepLines/>
      <w:spacing w:line="480" w:lineRule="exact"/>
    </w:pPr>
    <w:rPr>
      <w:b/>
      <w:sz w:val="36"/>
      <w:szCs w:val="16"/>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822167"/>
    <w:pPr>
      <w:tabs>
        <w:tab w:val="right" w:pos="9270"/>
      </w:tabs>
      <w:spacing w:line="260" w:lineRule="exact"/>
      <w:ind w:left="340" w:right="1134" w:hanging="340"/>
    </w:pPr>
    <w:rPr>
      <w:color w:val="0077C8" w:themeColor="accent3"/>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73233B"/>
  </w:style>
  <w:style w:type="paragraph" w:customStyle="1" w:styleId="TabeltekstSURF">
    <w:name w:val="Tabeltekst SURF"/>
    <w:basedOn w:val="ZsysbasistabeltekstSURF"/>
    <w:uiPriority w:val="4"/>
    <w:rsid w:val="00312D26"/>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Onopgelostemelding">
    <w:name w:val="Unresolved Mention"/>
    <w:basedOn w:val="Standaardalinea-lettertype"/>
    <w:uiPriority w:val="99"/>
    <w:semiHidden/>
    <w:unhideWhenUsed/>
    <w:rsid w:val="004C0618"/>
    <w:rPr>
      <w:color w:val="605E5C"/>
      <w:shd w:val="clear" w:color="auto" w:fill="E1DFDD"/>
    </w:rPr>
  </w:style>
  <w:style w:type="numbering" w:customStyle="1" w:styleId="ImportedStyle4">
    <w:name w:val="Imported Style 4"/>
    <w:rsid w:val="004C0618"/>
    <w:pPr>
      <w:numPr>
        <w:numId w:val="29"/>
      </w:numPr>
    </w:pPr>
  </w:style>
  <w:style w:type="paragraph" w:customStyle="1" w:styleId="Body">
    <w:name w:val="Body"/>
    <w:rsid w:val="004E55B7"/>
    <w:pPr>
      <w:pBdr>
        <w:top w:val="nil"/>
        <w:left w:val="nil"/>
        <w:bottom w:val="nil"/>
        <w:right w:val="nil"/>
        <w:between w:val="nil"/>
        <w:bar w:val="nil"/>
      </w:pBdr>
      <w:spacing w:after="260" w:line="260" w:lineRule="atLeast"/>
    </w:pPr>
    <w:rPr>
      <w:rFonts w:ascii="Calibri" w:eastAsia="Calibri" w:hAnsi="Calibri" w:cs="Calibri"/>
      <w:color w:val="000000"/>
      <w:kern w:val="0"/>
      <w:u w:color="000000"/>
      <w:bdr w:val="nil"/>
      <w14:textOutline w14:w="0" w14:cap="flat" w14:cmpd="sng" w14:algn="ctr">
        <w14:noFill/>
        <w14:prstDash w14:val="solid"/>
        <w14:bevel/>
      </w14:textOutline>
      <w14:ligatures w14:val="none"/>
    </w:rPr>
  </w:style>
  <w:style w:type="numbering" w:customStyle="1" w:styleId="ImportedStyle6">
    <w:name w:val="Imported Style 6"/>
    <w:rsid w:val="004E55B7"/>
    <w:pPr>
      <w:numPr>
        <w:numId w:val="34"/>
      </w:numPr>
    </w:pPr>
  </w:style>
  <w:style w:type="numbering" w:customStyle="1" w:styleId="ImportedStyle7">
    <w:name w:val="Imported Style 7"/>
    <w:rsid w:val="004E55B7"/>
    <w:pPr>
      <w:numPr>
        <w:numId w:val="35"/>
      </w:numPr>
    </w:pPr>
  </w:style>
  <w:style w:type="numbering" w:customStyle="1" w:styleId="ImportedStyle8">
    <w:name w:val="Imported Style 8"/>
    <w:rsid w:val="004E55B7"/>
    <w:pPr>
      <w:numPr>
        <w:numId w:val="36"/>
      </w:numPr>
    </w:pPr>
  </w:style>
  <w:style w:type="numbering" w:customStyle="1" w:styleId="ImportedStyle9">
    <w:name w:val="Imported Style 9"/>
    <w:rsid w:val="0060071A"/>
    <w:pPr>
      <w:numPr>
        <w:numId w:val="39"/>
      </w:numPr>
    </w:pPr>
  </w:style>
  <w:style w:type="paragraph" w:customStyle="1" w:styleId="Artikellid">
    <w:name w:val="Artikellid"/>
    <w:rsid w:val="0060071A"/>
    <w:pPr>
      <w:pBdr>
        <w:top w:val="nil"/>
        <w:left w:val="nil"/>
        <w:bottom w:val="nil"/>
        <w:right w:val="nil"/>
        <w:between w:val="nil"/>
        <w:bar w:val="nil"/>
      </w:pBdr>
      <w:spacing w:before="120" w:line="240" w:lineRule="auto"/>
    </w:pPr>
    <w:rPr>
      <w:rFonts w:ascii="Arial" w:eastAsia="Arial" w:hAnsi="Arial" w:cs="Arial"/>
      <w:color w:val="000000"/>
      <w:kern w:val="0"/>
      <w:sz w:val="18"/>
      <w:szCs w:val="18"/>
      <w:u w:color="000000"/>
      <w:bdr w:val="nil"/>
      <w14:ligatures w14:val="none"/>
    </w:rPr>
  </w:style>
  <w:style w:type="table" w:customStyle="1" w:styleId="TableNormal">
    <w:name w:val="Table Normal"/>
    <w:rsid w:val="0072059D"/>
    <w:pPr>
      <w:pBdr>
        <w:top w:val="nil"/>
        <w:left w:val="nil"/>
        <w:bottom w:val="nil"/>
        <w:right w:val="nil"/>
        <w:between w:val="nil"/>
        <w:bar w:val="nil"/>
      </w:pBdr>
      <w:spacing w:line="240" w:lineRule="auto"/>
    </w:pPr>
    <w:rPr>
      <w:rFonts w:eastAsia="Arial Unicode MS"/>
      <w:kern w:val="0"/>
      <w:bdr w:val="nil"/>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4020">
      <w:bodyDiv w:val="1"/>
      <w:marLeft w:val="0"/>
      <w:marRight w:val="0"/>
      <w:marTop w:val="0"/>
      <w:marBottom w:val="0"/>
      <w:divBdr>
        <w:top w:val="none" w:sz="0" w:space="0" w:color="auto"/>
        <w:left w:val="none" w:sz="0" w:space="0" w:color="auto"/>
        <w:bottom w:val="none" w:sz="0" w:space="0" w:color="auto"/>
        <w:right w:val="none" w:sz="0" w:space="0" w:color="auto"/>
      </w:divBdr>
    </w:div>
    <w:div w:id="160000742">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toriteitpersoonsgegevens.nl/documenten/vragenlijst-meldformulier-datalekk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atalekken.autoriteitpersoonsgegevens.n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
  <Ondertitel/>
</ju>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1C881F2A3EF99468695EBB3ACE05DA2" ma:contentTypeVersion="4" ma:contentTypeDescription="Een nieuw document maken." ma:contentTypeScope="" ma:versionID="956c336b111fe23c534a71737640f89d">
  <xsd:schema xmlns:xsd="http://www.w3.org/2001/XMLSchema" xmlns:xs="http://www.w3.org/2001/XMLSchema" xmlns:p="http://schemas.microsoft.com/office/2006/metadata/properties" xmlns:ns2="346e5cf6-46bf-48b1-8aee-6a13bbbea3a7" targetNamespace="http://schemas.microsoft.com/office/2006/metadata/properties" ma:root="true" ma:fieldsID="e3ef71afa35325196e589cf42898f5e1" ns2:_="">
    <xsd:import namespace="346e5cf6-46bf-48b1-8aee-6a13bbbea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5cf6-46bf-48b1-8aee-6a13bbbea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C419CB14-260D-4518-AE07-858F47BECB33}">
  <ds:schemaRefs>
    <ds:schemaRef ds:uri="http://schemas.microsoft.com/sharepoint/v3/contenttype/forms"/>
  </ds:schemaRefs>
</ds:datastoreItem>
</file>

<file path=customXml/itemProps3.xml><?xml version="1.0" encoding="utf-8"?>
<ds:datastoreItem xmlns:ds="http://schemas.openxmlformats.org/officeDocument/2006/customXml" ds:itemID="{8E73B28C-A346-4B53-A79D-604F69A72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D16408-16C0-4CC1-AF66-98F706476159}">
  <ds:schemaRefs>
    <ds:schemaRef ds:uri="http://schemas.openxmlformats.org/officeDocument/2006/bibliography"/>
  </ds:schemaRefs>
</ds:datastoreItem>
</file>

<file path=customXml/itemProps5.xml><?xml version="1.0" encoding="utf-8"?>
<ds:datastoreItem xmlns:ds="http://schemas.openxmlformats.org/officeDocument/2006/customXml" ds:itemID="{3A57CEA7-D2D8-4190-8E63-5FB9A8952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e5cf6-46bf-48b1-8aee-6a13bbbea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4168</Words>
  <Characters>23511</Characters>
  <Application>Microsoft Office Word</Application>
  <DocSecurity>0</DocSecurity>
  <Lines>587</Lines>
  <Paragraphs>268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 de Boer</dc:creator>
  <cp:keywords/>
  <dc:description/>
  <cp:lastModifiedBy>Helma de Boer</cp:lastModifiedBy>
  <cp:revision>106</cp:revision>
  <cp:lastPrinted>2019-03-18T08:35:00Z</cp:lastPrinted>
  <dcterms:created xsi:type="dcterms:W3CDTF">2025-04-15T09:53:00Z</dcterms:created>
  <dcterms:modified xsi:type="dcterms:W3CDTF">2025-04-28T14:18:00Z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0x010100B1C881F2A3EF99468695EBB3ACE05DA2</vt:lpwstr>
  </property>
</Properties>
</file>